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58196" w14:textId="77777777" w:rsidR="00174117" w:rsidRDefault="00174117">
      <w:pPr>
        <w:spacing w:after="0"/>
        <w:rPr>
          <w:rFonts w:ascii="Times New Roman" w:eastAsia="Times New Roman" w:hAnsi="Times New Roman" w:cs="Times New Roman"/>
          <w:sz w:val="28"/>
          <w:szCs w:val="28"/>
        </w:rPr>
      </w:pPr>
    </w:p>
    <w:p w14:paraId="00F9445E" w14:textId="03E02873" w:rsidR="00174117" w:rsidRPr="00455619" w:rsidRDefault="00455619">
      <w:pPr>
        <w:spacing w:after="0"/>
        <w:jc w:val="center"/>
        <w:rPr>
          <w:rFonts w:ascii="Times New Roman" w:eastAsia="Times New Roman" w:hAnsi="Times New Roman" w:cs="Times New Roman"/>
          <w:b/>
          <w:bCs/>
          <w:sz w:val="28"/>
          <w:szCs w:val="28"/>
        </w:rPr>
      </w:pPr>
      <w:r w:rsidRPr="00455619">
        <w:rPr>
          <w:rFonts w:ascii="Times New Roman" w:eastAsia="Times New Roman" w:hAnsi="Times New Roman" w:cs="Times New Roman"/>
          <w:b/>
          <w:bCs/>
          <w:sz w:val="28"/>
          <w:szCs w:val="28"/>
        </w:rPr>
        <w:t xml:space="preserve">Висновок </w:t>
      </w:r>
    </w:p>
    <w:p w14:paraId="75C07AB3" w14:textId="4F746743" w:rsidR="00174117" w:rsidRPr="00455619" w:rsidRDefault="00000000">
      <w:pPr>
        <w:spacing w:after="0"/>
        <w:jc w:val="center"/>
        <w:rPr>
          <w:rFonts w:ascii="Times New Roman" w:eastAsia="Times New Roman" w:hAnsi="Times New Roman" w:cs="Times New Roman"/>
          <w:b/>
          <w:bCs/>
          <w:sz w:val="28"/>
          <w:szCs w:val="28"/>
        </w:rPr>
      </w:pPr>
      <w:r w:rsidRPr="00455619">
        <w:rPr>
          <w:rFonts w:ascii="Times New Roman" w:eastAsia="Times New Roman" w:hAnsi="Times New Roman" w:cs="Times New Roman"/>
          <w:b/>
          <w:bCs/>
          <w:sz w:val="28"/>
          <w:szCs w:val="28"/>
        </w:rPr>
        <w:t>до про</w:t>
      </w:r>
      <w:r w:rsidR="00455619" w:rsidRPr="00455619">
        <w:rPr>
          <w:rFonts w:ascii="Times New Roman" w:eastAsia="Times New Roman" w:hAnsi="Times New Roman" w:cs="Times New Roman"/>
          <w:b/>
          <w:bCs/>
          <w:sz w:val="28"/>
          <w:szCs w:val="28"/>
        </w:rPr>
        <w:t>є</w:t>
      </w:r>
      <w:r w:rsidRPr="00455619">
        <w:rPr>
          <w:rFonts w:ascii="Times New Roman" w:eastAsia="Times New Roman" w:hAnsi="Times New Roman" w:cs="Times New Roman"/>
          <w:b/>
          <w:bCs/>
          <w:sz w:val="28"/>
          <w:szCs w:val="28"/>
        </w:rPr>
        <w:t xml:space="preserve">кту </w:t>
      </w:r>
      <w:r w:rsidR="00455619" w:rsidRPr="00455619">
        <w:rPr>
          <w:rFonts w:ascii="Times New Roman" w:eastAsia="Times New Roman" w:hAnsi="Times New Roman" w:cs="Times New Roman"/>
          <w:b/>
          <w:bCs/>
          <w:sz w:val="28"/>
          <w:szCs w:val="28"/>
        </w:rPr>
        <w:t>З</w:t>
      </w:r>
      <w:r w:rsidRPr="00455619">
        <w:rPr>
          <w:rFonts w:ascii="Times New Roman" w:eastAsia="Times New Roman" w:hAnsi="Times New Roman" w:cs="Times New Roman"/>
          <w:b/>
          <w:bCs/>
          <w:sz w:val="28"/>
          <w:szCs w:val="28"/>
        </w:rPr>
        <w:t>акону «Про внесення зміни до статті 1111 Кримінального кодексу України</w:t>
      </w:r>
    </w:p>
    <w:p w14:paraId="743019D7" w14:textId="77777777" w:rsidR="00174117" w:rsidRPr="00455619" w:rsidRDefault="00000000">
      <w:pPr>
        <w:spacing w:after="0"/>
        <w:jc w:val="center"/>
        <w:rPr>
          <w:rFonts w:ascii="Times New Roman" w:eastAsia="Times New Roman" w:hAnsi="Times New Roman" w:cs="Times New Roman"/>
          <w:b/>
          <w:bCs/>
          <w:sz w:val="28"/>
          <w:szCs w:val="28"/>
        </w:rPr>
      </w:pPr>
      <w:r w:rsidRPr="00455619">
        <w:rPr>
          <w:rFonts w:ascii="Times New Roman" w:eastAsia="Times New Roman" w:hAnsi="Times New Roman" w:cs="Times New Roman"/>
          <w:b/>
          <w:bCs/>
          <w:sz w:val="28"/>
          <w:szCs w:val="28"/>
        </w:rPr>
        <w:t xml:space="preserve">щодо вдосконалення відповідальності за колабораційну діяльність» </w:t>
      </w:r>
    </w:p>
    <w:p w14:paraId="745C3960" w14:textId="37D1C9BE" w:rsidR="00174117" w:rsidRPr="00455619" w:rsidRDefault="00000000">
      <w:pPr>
        <w:spacing w:after="0"/>
        <w:jc w:val="center"/>
        <w:rPr>
          <w:rFonts w:ascii="Times New Roman" w:eastAsia="Times New Roman" w:hAnsi="Times New Roman" w:cs="Times New Roman"/>
          <w:b/>
          <w:bCs/>
          <w:sz w:val="28"/>
          <w:szCs w:val="28"/>
        </w:rPr>
      </w:pPr>
      <w:r w:rsidRPr="00455619">
        <w:rPr>
          <w:rFonts w:ascii="Times New Roman" w:eastAsia="Times New Roman" w:hAnsi="Times New Roman" w:cs="Times New Roman"/>
          <w:b/>
          <w:bCs/>
          <w:sz w:val="28"/>
          <w:szCs w:val="28"/>
        </w:rPr>
        <w:t xml:space="preserve">(реєстр. № </w:t>
      </w:r>
      <w:hyperlink r:id="rId5" w:history="1">
        <w:r w:rsidRPr="00433572">
          <w:rPr>
            <w:rStyle w:val="a7"/>
            <w:rFonts w:ascii="Times New Roman" w:eastAsia="Times New Roman" w:hAnsi="Times New Roman" w:cs="Times New Roman"/>
            <w:b/>
            <w:bCs/>
            <w:sz w:val="28"/>
            <w:szCs w:val="28"/>
          </w:rPr>
          <w:t>8301</w:t>
        </w:r>
      </w:hyperlink>
      <w:r w:rsidRPr="00455619">
        <w:rPr>
          <w:rFonts w:ascii="Times New Roman" w:eastAsia="Times New Roman" w:hAnsi="Times New Roman" w:cs="Times New Roman"/>
          <w:b/>
          <w:bCs/>
          <w:sz w:val="28"/>
          <w:szCs w:val="28"/>
        </w:rPr>
        <w:t xml:space="preserve"> від 23.12.2022)</w:t>
      </w:r>
    </w:p>
    <w:p w14:paraId="111203DA" w14:textId="77777777" w:rsidR="00174117" w:rsidRDefault="00174117">
      <w:pPr>
        <w:spacing w:after="0"/>
        <w:jc w:val="center"/>
        <w:rPr>
          <w:rFonts w:ascii="Times New Roman" w:eastAsia="Times New Roman" w:hAnsi="Times New Roman" w:cs="Times New Roman"/>
          <w:sz w:val="28"/>
          <w:szCs w:val="28"/>
        </w:rPr>
      </w:pPr>
    </w:p>
    <w:p w14:paraId="0F525ED0"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Проєкт Закону України «Про внесення змін до статті 111</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Кримінального кодексу України щодо вдосконалення відповідальності за колабораційну діяльність» (реєстр. №8301 від 23.12.2022), поданий народним депутатом України Бакумовим О.С. та іншими народними депутатами України, відповідно до пояснювальної записки покликаний удосконалити положення ст. 111</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КК України для здійснення більш ефективної кваліфікації дій за колабораціонізм.</w:t>
      </w:r>
    </w:p>
    <w:p w14:paraId="660C03C3"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Відповідними положеннями законопроєкту пропонується:</w:t>
      </w:r>
    </w:p>
    <w:p w14:paraId="75F94480"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передбачити у санкціях частини першої та другої статті додаткові види покарання, які можуть бути накладені судом за вчинення колабораційної діяльності;</w:t>
      </w:r>
    </w:p>
    <w:p w14:paraId="76C5DB95"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доповнити частину третю покаранням за здійснення пропаганди у закладах культури;</w:t>
      </w:r>
    </w:p>
    <w:p w14:paraId="1F85D15A"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передбачити у частині четвертій можливість винятків для настання покарання, визначених законом;</w:t>
      </w:r>
    </w:p>
    <w:p w14:paraId="6BBD24A9"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розширити частину п’яту такими місцями вчинення злочину як установи, підприємства та організації;</w:t>
      </w:r>
    </w:p>
    <w:p w14:paraId="523465B9"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викласти частину восьму в новій редакції, якою передбачити кримінальну відповідальність за здійснення громадянином України на тимчасово окупованій території України і на підставі законодавства, відмінного від законодавства України, професійної діяльності, пов’язаної з наданням послуг аудитора, оцінювача, експерта, арбітражного керуючого, приватного виконавця, незалежного посередника, члена трудового арбітражу, третейського судді, а також виконання повноважень </w:t>
      </w:r>
      <w:r>
        <w:rPr>
          <w:rFonts w:ascii="Times New Roman" w:eastAsia="Times New Roman" w:hAnsi="Times New Roman" w:cs="Times New Roman"/>
          <w:sz w:val="28"/>
          <w:szCs w:val="28"/>
        </w:rPr>
        <w:lastRenderedPageBreak/>
        <w:t>нотаріуса або державного реєстратора чи суб’єкта державної реєстрації прав, або наданням інших публічних послуг;</w:t>
      </w:r>
    </w:p>
    <w:p w14:paraId="3F2F4DA3"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частині приведення положень у відповідність до статті 40 КК України виключити «добровільність» співпраці з державою-агресором як необхідна складова для кваліфікування колабораційної діяльності.</w:t>
      </w:r>
    </w:p>
    <w:p w14:paraId="14C2417B"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Щодо пропозицій авторів законопроєкту хочемо зазначити таке.</w:t>
      </w:r>
    </w:p>
    <w:p w14:paraId="7B56C84C"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Пропоновані зміни до ч.1 ст. 111</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КК України дозволять застосовувати різні види покарання в залежності від особи обвинувачення та характеру вчиненого ним діяння. Такі альтернативні міри покарання є лібералізацією підходів до покарання за проступок. Більше того, це дозволить накладати ефективне покарання, яке може слугувати його меті. Слід звернути увагу, що чинна недосконала міра покарання не дозволяє накласти ефективну міру покарання на осіб пенсійного віку, які не працюють і не планують працювати, на безробітних, яких влаштовує такий тип життя. Окрім цього, за своєю суттю покарання у вигляді позбавлення права обіймати певні посади або займатись певною діяльністю є заходами люстрації, які не відповідають суті криміналізації діяння.</w:t>
      </w:r>
    </w:p>
    <w:p w14:paraId="4B4F09CA"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вказана міра покарання не кореспондує суті вчиненого діяння та жодним чином може бути не пов’язана з професійною діяльністю особи, як наслідок зв’язок з об’єктивною стороною злочину та мірою покарання відсутній, що не відповідає меті кримінального переслідування. Позбавлення права на професію є надмірним тягарем та втручанням у права людини, яке не переслідує законної мети та є явно непропорційним. Наявне покарання в чинній редакції не відповідає ст. 5 ЄКПЛ, трискладовий тест Україна не пройде в цьому аспекті. Схожі зміни спостерігаються також до санкцій інших частин статті, що є обґрунтовано та логічно. Враховуючи наведене, пропоновані зміни є позитивними.</w:t>
      </w:r>
    </w:p>
    <w:p w14:paraId="32375FBA"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Чинні ч.ч. 2, 5, 7 ст. 111</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КК України передбачають ознаку добровільності зайняття посади. Натомість автори законопроєкту пропонують виключити цю ознаку. Така правка загалом відповідає КК України та є обґрунтованою. Кримінальна відповідальність можлива виключно у разі </w:t>
      </w:r>
      <w:r>
        <w:rPr>
          <w:rFonts w:ascii="Times New Roman" w:eastAsia="Times New Roman" w:hAnsi="Times New Roman" w:cs="Times New Roman"/>
          <w:sz w:val="28"/>
          <w:szCs w:val="28"/>
        </w:rPr>
        <w:lastRenderedPageBreak/>
        <w:t>добровільності, в іншому випадку застосовується стаття 40 КК України. Відтак вказівка на добровільність дійсно є зайвою деталізацією.</w:t>
      </w:r>
    </w:p>
    <w:p w14:paraId="11603824"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Щодо пропонованих змін до ч. 3 ст. 111</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КК України варто зазначити, що навчальний заклад та заклад освіти - тотожні поняття. Пропонована редакція в частині включення додаткового місця вчинення злочину - у закладі культури - є зрозумілою з точки зору легкості здійснення пропаганди саме під час масових вистав, шоу і т.п. Відповідно до цього, враховуючи, що ЗУ «Про освіту» використовує термінологію заклади освіти, вважаємо за доцільне визначити місцем вчинення діяння, передбаченого ч. 3 ст. 111</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КК України заклади освіти та заклади культури. У частині зазначення навчальних закладів варто пропозицію відхилити.</w:t>
      </w:r>
    </w:p>
    <w:p w14:paraId="33568130"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Частиною 4 ст. 111</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КК України чинну об’єктивну сторону кримінального правопорушення пропонують обмежити випадками, визначеними законом. Проте така правка не дозволяє покращити юридичну техніку цієї статті, адже не існує законодавчого акта України, який визначає випадки здійснення господарської діяльності на ТОТ, які є дозволеними.</w:t>
      </w:r>
    </w:p>
    <w:p w14:paraId="18A6EC8D"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Вимога «якості закону» у розумінні п. 1 ст. 5 ЄКПЛ означає, що закон має бути:</w:t>
      </w:r>
    </w:p>
    <w:p w14:paraId="56CD9618"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•достатньо доступним</w:t>
      </w:r>
    </w:p>
    <w:p w14:paraId="2803EB64"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•чітко сформульованим</w:t>
      </w:r>
    </w:p>
    <w:p w14:paraId="396A188C"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•передбачуваним у своєму застосуванні для убезпечення від будь-якого ризику свавілля (див. п. 19 рішення ЄСПЛ у справі «Новік проти України»).</w:t>
      </w:r>
    </w:p>
    <w:p w14:paraId="363C75B2"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Враховуючи наведене вказана правка не відповідає принципу юридичної визначеності як складової принципу верховенства права, а також «якості закону».</w:t>
      </w:r>
    </w:p>
    <w:p w14:paraId="487C0867"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пояснювальній записці до законопроєкту йдеться про «заходи, спрямовані на розв’язання гуманітарних проблем на окупованій території, надання медичних послуг, діяльності у галузі трубопровідного транспорту, зв’язку, роботи продуктових магазинів». Без відповідного закріплення правомірної діяльності, пропоновані зміни не можуть забезпечити виконання мети законопроєкту.</w:t>
      </w:r>
    </w:p>
    <w:p w14:paraId="595B2FFB"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Більше того, зазначений у пояснювальній записці перелік дозволеної діяльності не є повним та не враховує норми Міжнародного гуманітарного права.</w:t>
      </w:r>
    </w:p>
    <w:p w14:paraId="1A4CA4D9"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Україна ратифікували всі 4 Женевські Конвенції. Відповідно до ч.ч. 5 та 6 ст. 3 КК України Закони України про кримінальну відповідальність повинні відповідати положенням, що містяться в чинних міжнародних договорах, згоду на обов'язковість яких надано Верховною Радою України. Зміни до законодавства України про кримінальну відповідальність можуть вноситися виключно законами про внесення змін до цього Кодексу та/або до кримінального процесуального законодавства України, та/або до законодавства України про адміністративні правопорушення</w:t>
      </w:r>
    </w:p>
    <w:p w14:paraId="095CEB8E"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Указана частина дійсно потребує змін, як в принципі і всі інші частини ст. 111-1 КК України з врахуванням норм МГП, проте пропонована редакція змін не може вирішити цю проблему.</w:t>
      </w:r>
    </w:p>
    <w:p w14:paraId="4CC56E71"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Щодо ч. 5 ст. 111</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КК України окрім виключення ознаки добровільності пропонується також розширити перелік місць роботи, які можуть бути криміналізованими.</w:t>
      </w:r>
    </w:p>
    <w:p w14:paraId="4D2AC64F"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По-перше, незрозуміла логіка цих змін: без внесення змін до ч. 2 ст. 111</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КК України, де передбачається відповідальність за зайняття посад, проте без відповідних функцій, зміна до ч. 5 ст. 111</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КК України носить несистемний характер.</w:t>
      </w:r>
    </w:p>
    <w:p w14:paraId="7D0695B1"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По-друге, не враховані норми МГП, що знову вказує на відсутність системного бачення.</w:t>
      </w:r>
    </w:p>
    <w:p w14:paraId="00A9B512"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Пропоновані зміни криміналізують діяльність керівників та головних бухгалтерів, а також інших осіб, наділених відповідними функціями, незалежно від місця їхньої роботи, що не відповідає нормам МГП, а також пропонованій зміні в ч. 4 до цієї статті, де дозволяється діяльність в цій самій сфері, наприклад фізичної-особи підприємця.</w:t>
      </w:r>
    </w:p>
    <w:p w14:paraId="09941A21"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 само пропонована ч.8 ст. 111</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КК України не відповідає чинному національному та міжнародному законодавству, а її прийняття в цілому може мати невідворотні негативні наслідки.</w:t>
      </w:r>
    </w:p>
    <w:p w14:paraId="11BB2C60"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 ст. 4 ІV Женевської Конвенції визначає, що особами, що перебувають під захистом цієї Конвенції, є ті, хто в будь-який момент та за будь-яких обставин опиняються, у разі конфлікту чи окупації, під владою сторони конфлікту або окупаційної держави, громадянами яких вони не є.</w:t>
      </w:r>
    </w:p>
    <w:p w14:paraId="54A20952"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Особи, що перебувають під захистом, мають право за будь-яких обставин, на особисту повагу, повагу до своєї честі, права на сім'ю, їхніх релігійних переконань та обрядів, звичок та звичаїв. До них завжди слід ставитися гуманно й захищати їх, зокрема, від будь-якого акту насильства чи залякування, від образ та цікавості натовпу (ст. 27).</w:t>
      </w:r>
    </w:p>
    <w:p w14:paraId="674C77F3"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Особи, що перебувають під захистом, які знаходяться на окупованій території не будуть у жодному разі та жодним чином позбавлені переваг цієї Конвенції у зв'язку з будь-якими змінами, запровадженими стосовно керівних установ чи управління цією територією внаслідок її окупації, або у зв'язку з будь-якою угодою, укладеною між властями окупованої території та властями окупаційної держави, або у зв'язку з анексію окупаційною державою всієї або частини окупованої території (ст. 47).</w:t>
      </w:r>
    </w:p>
    <w:p w14:paraId="7BA28FAC"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відповідно до ст. 72 цієї Конвенції обвинувачені мають право надати докази, необхідні для їхнього захисту, зокрема викликати до суду свідків. Вони повинні мати право на допомогу кваліфікованого правозахисника за власним вибором, який повинен мати змогу вільно відвідувати обвинуваченого та повинен бути забезпечений усіма необхідними засобами для підготовки захисту.</w:t>
      </w:r>
    </w:p>
    <w:p w14:paraId="266EB6FE"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ст. 43 IV Конвенції про закони і звичаї війни на суходолі та додатку до неї: Положення про закони і звичаї війни на суходолі (18.10.1907) з фактичним переходом до рук окупанта повноважень легітимної влади він вживає всіх залежних від нього заходів для того, щоб, по можливості, відновити і забезпечити громадський порядок і безпеку, дотримуючись існуючих у країні законів, за виключенням, коли це абсолютно неможливо, в тому числі і на доступ осіб до отримання медичної допомоги.</w:t>
      </w:r>
    </w:p>
    <w:p w14:paraId="006EEB58"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справах «Кіпр проти Туреччини» (Cyprus v. Turkey, 10.05.2001) та «Мозер проти Республіки Молдови та Росії» (Mozer v. the Republic of Moldova and Russia, 23.02.2016) ЄСПЛ констатував, що «Консультативний висновок Міжнародного Суду, чітко показує, що … зобов'язання ігнорувати, не брати до уваги дії існуючих de_facto органів та інститутів [окупаційної влади] далеко від абсолютного. Для людей, що проживають на цій території, життя триває. І це життя потрібно зробити більш стерпним і захищеним фактичною владою, включаючи їх суди; і виключно в інтересах жителів цієї </w:t>
      </w:r>
      <w:r>
        <w:rPr>
          <w:rFonts w:ascii="Times New Roman" w:eastAsia="Times New Roman" w:hAnsi="Times New Roman" w:cs="Times New Roman"/>
          <w:sz w:val="28"/>
          <w:szCs w:val="28"/>
        </w:rPr>
        <w:lastRenderedPageBreak/>
        <w:t>території дії згаданої влади, які мають відношення до сказаного вище, не можуть просто ігноруватися третіми країнами або міжнародними організаціями, особливо судами, в тому числі й цим [ЄСПЛ]. Вирішити інакше означало б зовсім позбавляти людей, що проживають на цій території, всіх їх прав щоразу, коли вони обговорюються в міжнародному контексті, що означало б позбавлення їх навіть мінімального рівня прав, які їм належать» (Cyprus v. Turkey, 10.05.2001, §96).</w:t>
      </w:r>
    </w:p>
    <w:p w14:paraId="3A4743DE"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Відтак, пропонована редакція не відповідає вимогам міжнародного гуманітарного права, яке в умовах війни та активних бойових дій є чи не ключовим та найбільш визначальним.</w:t>
      </w:r>
    </w:p>
    <w:p w14:paraId="5B037EA1" w14:textId="567DC7E9"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Пропонована редакція також не відповідає вимогам ст. 29 ЗУ </w:t>
      </w:r>
      <w:r w:rsidR="00433572">
        <w:rPr>
          <w:rFonts w:ascii="Times New Roman" w:eastAsia="Times New Roman" w:hAnsi="Times New Roman" w:cs="Times New Roman"/>
          <w:sz w:val="28"/>
          <w:szCs w:val="28"/>
        </w:rPr>
        <w:t>«</w:t>
      </w:r>
      <w:r>
        <w:rPr>
          <w:rFonts w:ascii="Times New Roman" w:eastAsia="Times New Roman" w:hAnsi="Times New Roman" w:cs="Times New Roman"/>
          <w:sz w:val="28"/>
          <w:szCs w:val="28"/>
        </w:rPr>
        <w:t>Про адвокатуру та адвокатську діяльність</w:t>
      </w:r>
      <w:r w:rsidR="00433572">
        <w:rPr>
          <w:rFonts w:ascii="Times New Roman" w:eastAsia="Times New Roman" w:hAnsi="Times New Roman" w:cs="Times New Roman"/>
          <w:sz w:val="28"/>
          <w:szCs w:val="28"/>
        </w:rPr>
        <w:t>»</w:t>
      </w:r>
      <w:r>
        <w:rPr>
          <w:rFonts w:ascii="Times New Roman" w:eastAsia="Times New Roman" w:hAnsi="Times New Roman" w:cs="Times New Roman"/>
          <w:sz w:val="28"/>
          <w:szCs w:val="28"/>
        </w:rPr>
        <w:t>, відповідно до якої дія договору про надання правничої допомоги припиняється його належним виконанням. Договір про надання правничої допомоги може бути достроково припинений за взаємною згодою сторін або розірваний на вимогу однієї із сторін на умовах, передбачених договором. При цьому клієнт зобов’язаний оплатити адвокату (адвокатському бюро, адвокатському об’єднанню) гонорар (винагороду) за всю роботу, що була виконана чи підготовлена до виконання, а адвокат (адвокатське бюро, адвокатське об’єднання) зобов’язаний (зобов’язане) повідомити клієнта про можливі наслідки та ризики, пов’язані з достроковим припиненням (розірванням) договору.</w:t>
      </w:r>
    </w:p>
    <w:p w14:paraId="301DC9C5"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наслідок раніше укладені договори про надання правничої допомоги мають бути виконані, або розірвані на підставі згоди двох сторін (бо навряд чи окупація передбачена як підстава розірвання договору в односторонньому порядку). За відсутності згоди клієнта адвокат не має правових підстав для припинення дії договору.</w:t>
      </w:r>
    </w:p>
    <w:p w14:paraId="01D257E6"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Відсутність правової допомоги на окупованій території є порушенням права на захист та правову допомогу та є грубим порушенням прав клієнта.</w:t>
      </w:r>
    </w:p>
    <w:p w14:paraId="7D82B10C"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Варто звернути увагу на висновок Головного науково-експертного управління до цього законопроєкту. «…Так, наприклад, одним із суб’єктів аналізованого складу злочину пропонується визнати адвоката – громадянина України, який здійснює свою професійну діяльність на тимчасово окупованій території України і на підставі законодавства держави-агресора. Однак адвокатська </w:t>
      </w:r>
      <w:r>
        <w:rPr>
          <w:rFonts w:ascii="Times New Roman" w:eastAsia="Times New Roman" w:hAnsi="Times New Roman" w:cs="Times New Roman"/>
          <w:sz w:val="28"/>
          <w:szCs w:val="28"/>
        </w:rPr>
        <w:lastRenderedPageBreak/>
        <w:t>діяльність є незалежною професійною діяльністю адвоката щодо здійснення захисту, представництва та надання інших видів правової допомоги клієнту (див. п. 2 ч. 1 ст. 1 Закону України «Про адвокатуру та адвокатську діяльність»). Покликанням адвоката має бути надання правової допомоги задля забезпечення реалізації прав, свобод і законних інтересів клієнта, недопущення їх порушень, а також сприяння їх відновленню в разі порушення. Навіть у випадку здійснення адвокатом – громадянином України на тимчасово окупованій території України і на підставі законодавства держави-агресора своєї діяльності такий адвокат може продовжувати робити все можливе для захисту прав, свобод і законних інтересів тих людей, які зазнають несправедливих переслідувань. Наявність адвоката для клієнтів – громадян України, які перебувають на тимчасово окупованій території України, може бути єдиним шансом для боротьби зі свавільними арештами, залякуваннями, політично вмотивованими переслідуваннями, катуваннями та іншими незаконними діями держави-агресора (окупаційної адміністрації держави-агресора). Завдяки адвокатам відповідні «провадження» на тимчасово окупованій території України щонайменше набувають розголосу та стають відомі як для українського суспільства, так і для міжнародної спільноти, що також є суттєвим внеском у боротьбу з державою-агресором (окупаційною адміністрацією держави-агресора)…</w:t>
      </w:r>
    </w:p>
    <w:p w14:paraId="19CF16CB"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 таких умов, щонайменше некоректно стверджувати, що діяльність такого адвоката – громадянина України на тимчасово окупованій території України апріорі є одним із різновидів колабораційної діяльності. Адже колабораційна діяльність – це завжди умисна, добровільна співпраця з державою-агресором, вчинена в умовах окупації території України або її частини і з метою забезпечити підтримку державі-агресору та спричинити шкоду суверенітетові, територіальній цілісності і недоторканності, обороноздатності або державній, економічній чи інформаційній безпеці України».</w:t>
      </w:r>
    </w:p>
    <w:p w14:paraId="38AA36D9"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Щодо пропонованої категорії протиправної діяльності на ТОТ:</w:t>
      </w:r>
    </w:p>
    <w:p w14:paraId="7506F926"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Пропонована редакція містить занадто широке коло діяльностей: адвоката, аудитора, оцінювача, експерта, арбітражного керуючого, приватного виконавця, незалежного посередника, члена трудового </w:t>
      </w:r>
      <w:r>
        <w:rPr>
          <w:rFonts w:ascii="Times New Roman" w:eastAsia="Times New Roman" w:hAnsi="Times New Roman" w:cs="Times New Roman"/>
          <w:sz w:val="28"/>
          <w:szCs w:val="28"/>
        </w:rPr>
        <w:lastRenderedPageBreak/>
        <w:t>арбітражу, третейського судді, а також виконання повноважень нотаріуса або державного реєстратора чи суб’єкта державної реєстрації прав, або наданням інших публічних послуг.</w:t>
      </w:r>
    </w:p>
    <w:p w14:paraId="27910A3D"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По-перше, норма включає в себе невизначене коло суб’єктів, до яких можуть належати у т.ч. адміністратори ЦНАП, працівники сервісних центрів (МРЕВ, акредитаційних комісій, палат і т.п.), що не відповідає принципу правової визначеності як складової принципу верховенства права.</w:t>
      </w:r>
    </w:p>
    <w:p w14:paraId="02427B23"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Пропонована редакція не відповідає вимогам «якості закону» у розумінні п. 1 ст. 5 ЄКПЛ.</w:t>
      </w:r>
    </w:p>
    <w:p w14:paraId="4B7AB14D"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По-друге, незрозумілим у чому саме діяльність згаданих осіб може шкодити охоронюваним інтересам держави, де об’єктом ст. 111</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КК України є державний суверенітет, територіальна цілістність та недоторканість України.</w:t>
      </w:r>
    </w:p>
    <w:p w14:paraId="3CF0AAAC"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 більше, з моменту припинення доступу Міністерством юстиції України до державних реєстрів вказані особи втрачають можливість дійсно виконувати властиві їм функції, як наслідок не можуть нашкодити функціонуванню реєстрів України. Окремим незрозумілим пунктом пропонованої редакції є відсутність в цьому переліку державного виконавця, хоча опції приватного та державного виконавця тотожними (окрім виключно категорій справ, як примусового виконання окремих категорій судових рішень).</w:t>
      </w:r>
    </w:p>
    <w:p w14:paraId="77D04ED7"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Положення пропонованої зміни дуже схоже з проєктом № 8077. Єдиною відмінністю є уточнення щодо здійснення такої професійної діяльності «на підставі законодавства, відмінного від законодавства України». Незрозуміле положення, адже це може бути законодавство Молдови, Білорусі чи будь-якої іншої країни. Тому вказане уточнення створює ще більше непорозумінь, аніж у версії законопроєкту № 8077, що також не відповідає принципу юридичної визначеності.</w:t>
      </w:r>
    </w:p>
    <w:p w14:paraId="0D6D7D74"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Аналізуючи зміст пропонованих ч.ч. 4, 5, 8 ст. 1111 КК України передбачається можливість зловживання нормами або їх несправедливого застосування, відтак - дискримінації. Відсутня обґрунтованість та ефективність криміналізації.</w:t>
      </w:r>
    </w:p>
    <w:p w14:paraId="3C727B9F"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Наслідки таких змін у контексті перехідного правосуддя незворотні: втрата довіри населення, яке опинилось в окупації, притягнення до відповідальності великої кількості людей, небажання деокупації території, вчинення ще більш серйозних злочинів, бо вже немає що втрачати.</w:t>
      </w:r>
    </w:p>
    <w:p w14:paraId="0EFD4A3F"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Окрім цього автори законопроєкту пропонують виключити примітку щодо визначення тяжких наслідків. Причина цього дійсно незрозуміла. Стаття 111-1 КК України містить склади кримінальних правопорушень з формальним складом (тобто настання наслідків не впливає на кваліфікацію), тому в діях особи, які є криміналізованими може і не бути конкретних наслідків для інших охоронюваних законом інтересів, окрім прямого об’єкта (наприклад, життя, здоров’я людей).</w:t>
      </w:r>
    </w:p>
    <w:p w14:paraId="2616114E" w14:textId="77777777" w:rsidR="00174117" w:rsidRDefault="00000000">
      <w:pPr>
        <w:spacing w:after="0" w:line="276" w:lineRule="auto"/>
        <w:ind w:left="70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 наприклад, зайняття посади в судових органах та винесення смертного вироку на цій посаді будуть мати однакову кваліфікацію за цієї редакції без пріоритизації та градації за наслідками. Або надання інформації про місце розташування ЗСУ та те саме, діяння, яке призвело до загибелі особового складу ЗСУ так само не буде мати відмінностей, що не відповідає тяжкості скоєного.</w:t>
      </w:r>
    </w:p>
    <w:p w14:paraId="37A29C94" w14:textId="77777777" w:rsidR="00174117" w:rsidRDefault="00174117">
      <w:pPr>
        <w:spacing w:after="0"/>
        <w:rPr>
          <w:rFonts w:ascii="Times New Roman" w:eastAsia="Times New Roman" w:hAnsi="Times New Roman" w:cs="Times New Roman"/>
          <w:sz w:val="28"/>
          <w:szCs w:val="28"/>
        </w:rPr>
      </w:pPr>
    </w:p>
    <w:sectPr w:rsidR="00174117">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17"/>
    <w:rsid w:val="000B7368"/>
    <w:rsid w:val="00174117"/>
    <w:rsid w:val="00433572"/>
    <w:rsid w:val="00455619"/>
    <w:rsid w:val="004B4A78"/>
    <w:rsid w:val="00FF21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9BFA6"/>
  <w15:docId w15:val="{5F99CF69-8F4C-43BE-AC81-ED383667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127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character" w:styleId="a7">
    <w:name w:val="Hyperlink"/>
    <w:basedOn w:val="a0"/>
    <w:uiPriority w:val="99"/>
    <w:unhideWhenUsed/>
    <w:rsid w:val="00433572"/>
    <w:rPr>
      <w:color w:val="0563C1" w:themeColor="hyperlink"/>
      <w:u w:val="single"/>
    </w:rPr>
  </w:style>
  <w:style w:type="character" w:styleId="a8">
    <w:name w:val="Unresolved Mention"/>
    <w:basedOn w:val="a0"/>
    <w:uiPriority w:val="99"/>
    <w:semiHidden/>
    <w:unhideWhenUsed/>
    <w:rsid w:val="00433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itd.rada.gov.ua/billInfo/Bills/Card/4089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Bv+UOczFJxAiJAW4anO7LDdv6g==">CgMxLjA4AHIhMV9PUl9tT3U2SWEwRGdVSkZSSW96Ml8zUG1JQmJubE51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11063</Words>
  <Characters>6307</Characters>
  <Application>Microsoft Office Word</Application>
  <DocSecurity>0</DocSecurity>
  <Lines>52</Lines>
  <Paragraphs>34</Paragraphs>
  <ScaleCrop>false</ScaleCrop>
  <Company/>
  <LinksUpToDate>false</LinksUpToDate>
  <CharactersWithSpaces>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Мирослав Лаврінок</dc:creator>
  <cp:lastModifiedBy>Мирослав Лаврінок</cp:lastModifiedBy>
  <cp:revision>4</cp:revision>
  <dcterms:created xsi:type="dcterms:W3CDTF">2024-09-05T21:28:00Z</dcterms:created>
  <dcterms:modified xsi:type="dcterms:W3CDTF">2024-09-05T21:29:00Z</dcterms:modified>
</cp:coreProperties>
</file>