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61C65" w14:textId="26AC6616" w:rsidR="006C182E" w:rsidRPr="00CC5E17" w:rsidRDefault="00F31914">
      <w:pPr>
        <w:spacing w:after="0"/>
        <w:jc w:val="center"/>
        <w:rPr>
          <w:rFonts w:ascii="Times New Roman" w:eastAsia="Times New Roman" w:hAnsi="Times New Roman" w:cs="Times New Roman"/>
          <w:b/>
          <w:bCs/>
          <w:sz w:val="28"/>
          <w:szCs w:val="28"/>
        </w:rPr>
      </w:pPr>
      <w:r w:rsidRPr="00CC5E17">
        <w:rPr>
          <w:rFonts w:ascii="Times New Roman" w:eastAsia="Times New Roman" w:hAnsi="Times New Roman" w:cs="Times New Roman"/>
          <w:b/>
          <w:bCs/>
          <w:sz w:val="28"/>
          <w:szCs w:val="28"/>
        </w:rPr>
        <w:t xml:space="preserve">Висновок </w:t>
      </w:r>
    </w:p>
    <w:p w14:paraId="21DBFEDF" w14:textId="0EA36412" w:rsidR="006C182E" w:rsidRPr="00CC5E17" w:rsidRDefault="00000000">
      <w:pPr>
        <w:spacing w:after="0"/>
        <w:jc w:val="center"/>
        <w:rPr>
          <w:rFonts w:ascii="Times New Roman" w:eastAsia="Times New Roman" w:hAnsi="Times New Roman" w:cs="Times New Roman"/>
          <w:b/>
          <w:bCs/>
          <w:sz w:val="28"/>
          <w:szCs w:val="28"/>
        </w:rPr>
      </w:pPr>
      <w:r w:rsidRPr="00CC5E17">
        <w:rPr>
          <w:rFonts w:ascii="Times New Roman" w:eastAsia="Times New Roman" w:hAnsi="Times New Roman" w:cs="Times New Roman"/>
          <w:b/>
          <w:bCs/>
          <w:sz w:val="28"/>
          <w:szCs w:val="28"/>
        </w:rPr>
        <w:t>до про</w:t>
      </w:r>
      <w:r w:rsidR="00F31914" w:rsidRPr="00CC5E17">
        <w:rPr>
          <w:rFonts w:ascii="Times New Roman" w:eastAsia="Times New Roman" w:hAnsi="Times New Roman" w:cs="Times New Roman"/>
          <w:b/>
          <w:bCs/>
          <w:sz w:val="28"/>
          <w:szCs w:val="28"/>
        </w:rPr>
        <w:t>є</w:t>
      </w:r>
      <w:r w:rsidRPr="00CC5E17">
        <w:rPr>
          <w:rFonts w:ascii="Times New Roman" w:eastAsia="Times New Roman" w:hAnsi="Times New Roman" w:cs="Times New Roman"/>
          <w:b/>
          <w:bCs/>
          <w:sz w:val="28"/>
          <w:szCs w:val="28"/>
        </w:rPr>
        <w:t>кту закону «Про внесення змін до статті 1111 Кримінального кодексу України щодо</w:t>
      </w:r>
    </w:p>
    <w:p w14:paraId="0FCD82FD" w14:textId="77777777" w:rsidR="006C182E" w:rsidRPr="00CC5E17" w:rsidRDefault="00000000">
      <w:pPr>
        <w:spacing w:after="0"/>
        <w:jc w:val="center"/>
        <w:rPr>
          <w:rFonts w:ascii="Times New Roman" w:eastAsia="Times New Roman" w:hAnsi="Times New Roman" w:cs="Times New Roman"/>
          <w:b/>
          <w:bCs/>
          <w:sz w:val="28"/>
          <w:szCs w:val="28"/>
        </w:rPr>
      </w:pPr>
      <w:r w:rsidRPr="00CC5E17">
        <w:rPr>
          <w:rFonts w:ascii="Times New Roman" w:eastAsia="Times New Roman" w:hAnsi="Times New Roman" w:cs="Times New Roman"/>
          <w:b/>
          <w:bCs/>
          <w:sz w:val="28"/>
          <w:szCs w:val="28"/>
        </w:rPr>
        <w:t>вдосконалення кримінальної відповідальності за колабораційну діяльність»</w:t>
      </w:r>
    </w:p>
    <w:p w14:paraId="5A26CC72" w14:textId="309CCC18" w:rsidR="006C182E" w:rsidRPr="00CC5E17" w:rsidRDefault="00000000">
      <w:pPr>
        <w:spacing w:after="0"/>
        <w:jc w:val="center"/>
        <w:rPr>
          <w:rFonts w:ascii="Times New Roman" w:eastAsia="Times New Roman" w:hAnsi="Times New Roman" w:cs="Times New Roman"/>
          <w:b/>
          <w:bCs/>
          <w:sz w:val="28"/>
          <w:szCs w:val="28"/>
        </w:rPr>
      </w:pPr>
      <w:r w:rsidRPr="00CC5E17">
        <w:rPr>
          <w:rFonts w:ascii="Times New Roman" w:eastAsia="Times New Roman" w:hAnsi="Times New Roman" w:cs="Times New Roman"/>
          <w:b/>
          <w:bCs/>
          <w:sz w:val="28"/>
          <w:szCs w:val="28"/>
        </w:rPr>
        <w:t xml:space="preserve"> (реєстр. № </w:t>
      </w:r>
      <w:hyperlink r:id="rId5" w:history="1">
        <w:r w:rsidRPr="00CC5E17">
          <w:rPr>
            <w:rStyle w:val="a7"/>
            <w:rFonts w:ascii="Times New Roman" w:eastAsia="Times New Roman" w:hAnsi="Times New Roman" w:cs="Times New Roman"/>
            <w:b/>
            <w:bCs/>
            <w:sz w:val="28"/>
            <w:szCs w:val="28"/>
          </w:rPr>
          <w:t>8077</w:t>
        </w:r>
      </w:hyperlink>
      <w:r w:rsidRPr="00CC5E17">
        <w:rPr>
          <w:rFonts w:ascii="Times New Roman" w:eastAsia="Times New Roman" w:hAnsi="Times New Roman" w:cs="Times New Roman"/>
          <w:b/>
          <w:bCs/>
          <w:sz w:val="28"/>
          <w:szCs w:val="28"/>
        </w:rPr>
        <w:t xml:space="preserve"> від 26.09.2022)</w:t>
      </w:r>
    </w:p>
    <w:p w14:paraId="1D7E1585" w14:textId="77777777" w:rsidR="006C182E" w:rsidRDefault="006C182E">
      <w:pPr>
        <w:spacing w:after="0"/>
        <w:jc w:val="center"/>
        <w:rPr>
          <w:rFonts w:ascii="Times New Roman" w:eastAsia="Times New Roman" w:hAnsi="Times New Roman" w:cs="Times New Roman"/>
          <w:sz w:val="28"/>
          <w:szCs w:val="28"/>
        </w:rPr>
      </w:pPr>
    </w:p>
    <w:p w14:paraId="3992AF19"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Закону України «Про внесення змін до статті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Кримінального кодексу України щодо вдосконалення кримінальної відповідальності за колабораційну діяльність» (реєстр. №8077 від 26.09.2022), поданий народним депутатом України </w:t>
      </w:r>
      <w:proofErr w:type="spellStart"/>
      <w:r>
        <w:rPr>
          <w:rFonts w:ascii="Times New Roman" w:eastAsia="Times New Roman" w:hAnsi="Times New Roman" w:cs="Times New Roman"/>
          <w:sz w:val="28"/>
          <w:szCs w:val="28"/>
        </w:rPr>
        <w:t>Фрісом</w:t>
      </w:r>
      <w:proofErr w:type="spellEnd"/>
      <w:r>
        <w:rPr>
          <w:rFonts w:ascii="Times New Roman" w:eastAsia="Times New Roman" w:hAnsi="Times New Roman" w:cs="Times New Roman"/>
          <w:sz w:val="28"/>
          <w:szCs w:val="28"/>
        </w:rPr>
        <w:t xml:space="preserve"> Ігорем Павловичем та іншими, відповідно до пояснювальної записки спрямований на вдосконалення інституту кримінальної відповідальності за колабораціонізм та розширення кола осіб, які співпрацюють з державою-агресором, а також обмеження доступу таких осіб до здійснення незалежної професійної діяльності, посад, пов’язаних із виконанням функцій держави чи місцевого самоврядування.</w:t>
      </w:r>
    </w:p>
    <w:p w14:paraId="4B5430A4"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Дійсно, аналізуючи порівняльну таблицю одразу можна встановити, що ключовою зміною є доповнення статті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частиною п’ятою.</w:t>
      </w:r>
    </w:p>
    <w:p w14:paraId="77DAE641"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Автори законопроєкту пропонують </w:t>
      </w:r>
      <w:proofErr w:type="spellStart"/>
      <w:r>
        <w:rPr>
          <w:rFonts w:ascii="Times New Roman" w:eastAsia="Times New Roman" w:hAnsi="Times New Roman" w:cs="Times New Roman"/>
          <w:sz w:val="28"/>
          <w:szCs w:val="28"/>
        </w:rPr>
        <w:t>криміналізувати</w:t>
      </w:r>
      <w:proofErr w:type="spellEnd"/>
      <w:r>
        <w:rPr>
          <w:rFonts w:ascii="Times New Roman" w:eastAsia="Times New Roman" w:hAnsi="Times New Roman" w:cs="Times New Roman"/>
          <w:sz w:val="28"/>
          <w:szCs w:val="28"/>
        </w:rPr>
        <w:t xml:space="preserve"> здійснення громадянином України на тимчасово окупованій території України і на підставі законодавства держави-агресора професійної діяльності, пов’язаної з наданням послуг адвоката, аудитора, оцінювача, експерта, арбітражного керуючого, приватного виконавця, незалежного посередника, члена трудового арбітражу, третейського судді, а також виконання повноважень нотаріуса або державного реєстратора, мотивуючи це специфікою їх діяльності, їхньою важливою роллю у суспільно-правовому житті держави, а також можливими негативними наслідками від здійснення цієї діяльності за законодавством держави-агресора.</w:t>
      </w:r>
    </w:p>
    <w:p w14:paraId="23C05449"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Переконані, що пропонована ч. 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не відповідає чинному національному та міжнародному законодавству, а її прийняття в цілому може мати невідворотні негативні наслідки.</w:t>
      </w:r>
    </w:p>
    <w:p w14:paraId="246E33FC"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Так, ст. 4 ІV Женевської Конвенції визначає, що особами, що перебувають під захистом цієї Конвенції, є ті, хто в будь-який момент та за будь-яких обставин опиняються, у разі конфлікту чи окупації, під владою сторони конфлікту або окупаційної держави, громадянами яких вони не є.</w:t>
      </w:r>
    </w:p>
    <w:p w14:paraId="32CD1E9E"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що перебувають під захистом, мають право за будь-яких обставин, на особисту повагу, повагу до своєї честі, права на сім'ю, їхніх релігійних переконань та обрядів, звичок та звичаїв. До них завжди слід ставитися гуманно й захищати їх, зокрема, від будь-якого акту насильства чи залякування, від образ та цікавості натовпу (ст. 27).</w:t>
      </w:r>
    </w:p>
    <w:p w14:paraId="021C6599"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що перебувають під захистом, які знаходяться на окупованій території не будуть у жодному разі та жодним чином позбавлені переваг цієї Конвенції у зв'язку з будь-якими змінами, запровадженими стосовно керівних установ чи управління цією територією внаслідок її окупації, або у зв'язку з будь-якою угодою, укладеною між властями окупованої території та властями окупаційної держави, або у зв'язку з анексію окупаційною державою всієї або частини окупованої території (ст. 47).</w:t>
      </w:r>
    </w:p>
    <w:p w14:paraId="16725C07"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відповідно до ст. 72 цієї Конвенції обвинувачені мають право надати докази, необхідні для їхнього захисту, зокрема викликати до суду свідків. Вони повинні мати право на допомогу кваліфікованого правозахисника за власним вибором, який повинен мати змогу вільно відвідувати обвинуваченого та повинен бути забезпечений усіма необхідними засобами для підготовки захисту.</w:t>
      </w:r>
    </w:p>
    <w:p w14:paraId="3C4129EC"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 43 IV Конвенції про закони і звичаї війни на суходолі та додатку до неї: Положення про закони і звичаї війни на суходолі (18.10.1907) з фактичним переходом до рук окупанта повноважень легітимної влади він вживає всіх залежних від нього заходів для того, щоб, по можливості, відновити і забезпечити громадський порядок і безпеку, дотримуючись існуючих у країні законів, за виключенням, коли це абсолютно неможливо, в тому числі і на доступ осіб до отримання медичної допомоги.</w:t>
      </w:r>
    </w:p>
    <w:p w14:paraId="2AF2281D"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справах «Кіпр проти Туреччини» (</w:t>
      </w:r>
      <w:proofErr w:type="spellStart"/>
      <w:r>
        <w:rPr>
          <w:rFonts w:ascii="Times New Roman" w:eastAsia="Times New Roman" w:hAnsi="Times New Roman" w:cs="Times New Roman"/>
          <w:sz w:val="28"/>
          <w:szCs w:val="28"/>
        </w:rPr>
        <w:t>Cyprus</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Turkey</w:t>
      </w:r>
      <w:proofErr w:type="spellEnd"/>
      <w:r>
        <w:rPr>
          <w:rFonts w:ascii="Times New Roman" w:eastAsia="Times New Roman" w:hAnsi="Times New Roman" w:cs="Times New Roman"/>
          <w:sz w:val="28"/>
          <w:szCs w:val="28"/>
        </w:rPr>
        <w:t>, 10.05.2001) та «</w:t>
      </w:r>
      <w:proofErr w:type="spellStart"/>
      <w:r>
        <w:rPr>
          <w:rFonts w:ascii="Times New Roman" w:eastAsia="Times New Roman" w:hAnsi="Times New Roman" w:cs="Times New Roman"/>
          <w:sz w:val="28"/>
          <w:szCs w:val="28"/>
        </w:rPr>
        <w:t>Мозер</w:t>
      </w:r>
      <w:proofErr w:type="spellEnd"/>
      <w:r>
        <w:rPr>
          <w:rFonts w:ascii="Times New Roman" w:eastAsia="Times New Roman" w:hAnsi="Times New Roman" w:cs="Times New Roman"/>
          <w:sz w:val="28"/>
          <w:szCs w:val="28"/>
        </w:rPr>
        <w:t xml:space="preserve"> проти Республіки Молдови та Росії» (</w:t>
      </w:r>
      <w:proofErr w:type="spellStart"/>
      <w:r>
        <w:rPr>
          <w:rFonts w:ascii="Times New Roman" w:eastAsia="Times New Roman" w:hAnsi="Times New Roman" w:cs="Times New Roman"/>
          <w:sz w:val="28"/>
          <w:szCs w:val="28"/>
        </w:rPr>
        <w:t>Mozer</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Republic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Moldova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Russia</w:t>
      </w:r>
      <w:proofErr w:type="spellEnd"/>
      <w:r>
        <w:rPr>
          <w:rFonts w:ascii="Times New Roman" w:eastAsia="Times New Roman" w:hAnsi="Times New Roman" w:cs="Times New Roman"/>
          <w:sz w:val="28"/>
          <w:szCs w:val="28"/>
        </w:rPr>
        <w:t xml:space="preserve">, 23.02.2016) ЄСПЛ констатував, що «Консультативний висновок Міжнародного Суду, чітко показує, що … зобов'язання ігнорувати, не брати до уваги дії існуючих </w:t>
      </w:r>
      <w:proofErr w:type="spellStart"/>
      <w:r>
        <w:rPr>
          <w:rFonts w:ascii="Times New Roman" w:eastAsia="Times New Roman" w:hAnsi="Times New Roman" w:cs="Times New Roman"/>
          <w:sz w:val="28"/>
          <w:szCs w:val="28"/>
        </w:rPr>
        <w:t>de_facto</w:t>
      </w:r>
      <w:proofErr w:type="spellEnd"/>
      <w:r>
        <w:rPr>
          <w:rFonts w:ascii="Times New Roman" w:eastAsia="Times New Roman" w:hAnsi="Times New Roman" w:cs="Times New Roman"/>
          <w:sz w:val="28"/>
          <w:szCs w:val="28"/>
        </w:rPr>
        <w:t xml:space="preserve"> органів та інститутів [окупаційної влади] далеко від абсолютного. Для людей, що проживають на цій території, життя триває. І це життя потрібно зробити більш стерпним і захищеним фактичною владою, включаючи їх суди; і виключно в інтересах жителів цієї території дії згаданої влади, які мають відношення до сказаного вище, не можуть просто ігноруватися третіми країнами або міжнародними організаціями, особливо судами, в тому числі й цим [ЄСПЛ]. Вирішити інакше означало б зовсім позбавляти людей, що проживають на цій території, всіх їх прав щоразу, коли вони обговорюються в міжнародному контексті, що означало б позбавлення їх навіть мінімального рівня прав, які їм належать» (</w:t>
      </w:r>
      <w:proofErr w:type="spellStart"/>
      <w:r>
        <w:rPr>
          <w:rFonts w:ascii="Times New Roman" w:eastAsia="Times New Roman" w:hAnsi="Times New Roman" w:cs="Times New Roman"/>
          <w:sz w:val="28"/>
          <w:szCs w:val="28"/>
        </w:rPr>
        <w:t>Cyprus</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Turkey</w:t>
      </w:r>
      <w:proofErr w:type="spellEnd"/>
      <w:r>
        <w:rPr>
          <w:rFonts w:ascii="Times New Roman" w:eastAsia="Times New Roman" w:hAnsi="Times New Roman" w:cs="Times New Roman"/>
          <w:sz w:val="28"/>
          <w:szCs w:val="28"/>
        </w:rPr>
        <w:t>, 10.05.2001, §96).</w:t>
      </w:r>
    </w:p>
    <w:p w14:paraId="26F9B129"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Відтак, пропонована редакція не відповідає вимогам міжнародного гуманітарного права, яке в умовах війни та активних бойових дій є чи не ключовим та найбільш визначальним.</w:t>
      </w:r>
    </w:p>
    <w:p w14:paraId="540E3674" w14:textId="297C0812"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Пропонована редакція також не відповідає вимогам ст. 29 ЗУ </w:t>
      </w:r>
      <w:r w:rsidR="00C37BF3">
        <w:rPr>
          <w:rFonts w:ascii="Times New Roman" w:eastAsia="Times New Roman" w:hAnsi="Times New Roman" w:cs="Times New Roman"/>
          <w:sz w:val="28"/>
          <w:szCs w:val="28"/>
        </w:rPr>
        <w:t>«</w:t>
      </w:r>
      <w:r>
        <w:rPr>
          <w:rFonts w:ascii="Times New Roman" w:eastAsia="Times New Roman" w:hAnsi="Times New Roman" w:cs="Times New Roman"/>
          <w:sz w:val="28"/>
          <w:szCs w:val="28"/>
        </w:rPr>
        <w:t>Про адвокатуру та адвокатську діяльність</w:t>
      </w:r>
      <w:r w:rsidR="00C37BF3">
        <w:rPr>
          <w:rFonts w:ascii="Times New Roman" w:eastAsia="Times New Roman" w:hAnsi="Times New Roman" w:cs="Times New Roman"/>
          <w:sz w:val="28"/>
          <w:szCs w:val="28"/>
        </w:rPr>
        <w:t>»</w:t>
      </w:r>
      <w:r>
        <w:rPr>
          <w:rFonts w:ascii="Times New Roman" w:eastAsia="Times New Roman" w:hAnsi="Times New Roman" w:cs="Times New Roman"/>
          <w:sz w:val="28"/>
          <w:szCs w:val="28"/>
        </w:rPr>
        <w:t>, відповідно до якої дія договору про надання правничої допомоги припиняється його належним виконанням. Договір про надання правничої допомоги може бути достроково припинений за взаємною згодою сторін або розірваний на вимогу однієї із сторін на умовах, передбачених договором. При цьому клієнт зобов’язаний оплатити адвокату (адвокатському бюро, адвокатському об’єднанню) гонорар (винагороду) за всю роботу, що була виконана чи підготовлена до виконання, а адвокат (адвокатське бюро, адвокатське об’єднання) зобов’язаний (зобов’язане) повідомити клієнта про можливі наслідки та ризики, пов’язані з достроковим припиненням (розірванням) договору.</w:t>
      </w:r>
    </w:p>
    <w:p w14:paraId="404BE1B3"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наслідок раніше укладені договори про надання правничої допомоги мають бути виконані, або розірвані на підставі згоди двох сторін (бо навряд чи окупація передбачена як підстава розірвання договору </w:t>
      </w:r>
      <w:r>
        <w:rPr>
          <w:rFonts w:ascii="Times New Roman" w:eastAsia="Times New Roman" w:hAnsi="Times New Roman" w:cs="Times New Roman"/>
          <w:sz w:val="28"/>
          <w:szCs w:val="28"/>
        </w:rPr>
        <w:lastRenderedPageBreak/>
        <w:t>в односторонньому порядку). За відсутності згоди клієнта адвокат не має правових підстав для припинення дії договору.</w:t>
      </w:r>
    </w:p>
    <w:p w14:paraId="3A1E5689"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Відсутність правової допомоги на окупованій території є порушенням права на захист та правову допомогу та є грубим порушенням прав клієнта.</w:t>
      </w:r>
    </w:p>
    <w:p w14:paraId="38EA9CB0"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Варто звернути увагу на висновок Головного науково-експертного управління до цього законопроєкту. «…Так, наприклад, одним із суб’єктів аналізованого складу злочину пропонується визнати адвоката – громадянина України, який здійснює свою професійну діяльність на тимчасово окупованій території України і на підставі законодавства держави-агресора. Однак адвокатська діяльність є незалежною професійною діяльністю адвоката щодо здійснення захисту, представництва та надання інших видів правової допомоги клієнту (див. п. 2 ч. 1 ст. 1 Закону України «Про адвокатуру та адвокатську діяльність»). Покликанням адвоката має бути надання правової допомоги задля забезпечення реалізації прав, свобод і законних інтересів клієнта, недопущення їх порушень, а також сприяння їх відновленню в разі порушення. Навіть у випадку здійснення адвокатом – громадянином України на тимчасово окупованій території України і на підставі законодавства держави-агресора своєї діяльності такий адвокат може продовжувати робити все можливе для захисту прав, свобод і законних інтересів тих людей, які зазнають несправедливих переслідувань. Наявність адвоката для клієнтів – громадян України, які перебувають на тимчасово окупованій території України, може бути єдиним шансом для боротьби зі свавільними арештами, залякуваннями, політично вмотивованими переслідуваннями, катуваннями та іншими незаконними діями держави-агресора (окупаційної адміністрації держави-агресора). Завдяки адвокатам відповідні «провадження» на тимчасово окупованій території України щонайменше набувають розголосу та стають відомі як для українського суспільства, так і для міжнародної спільноти, що також є суттєвим внеском у боротьбу з державою-агресором (окупаційною адміністрацією держави-агресора)…</w:t>
      </w:r>
    </w:p>
    <w:p w14:paraId="1B89DA64"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За таких умов, щонайменше некоректно стверджувати, що діяльність такого адвоката – громадянина України на тимчасово окупованій території України апріорі є одним із різновидів колабораційної діяльності. Адже колабораційна діяльність – це завжди умисна, добровільна співпраця з державою-агресором, вчинена в умовах окупації території України або її частини і з метою забезпечити підтримку державі-агресору та спричинити шкоду суверенітетові, територіальній цілісності і недоторканності, обороноздатності або державній, економічній чи інформаційній безпеці України».</w:t>
      </w:r>
    </w:p>
    <w:p w14:paraId="128BE8A0"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пропонованої категорії протиправної діяльності на ТОТ:</w:t>
      </w:r>
    </w:p>
    <w:p w14:paraId="1C6801BE"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Пропонована редакція містить занадто широке коло </w:t>
      </w:r>
      <w:proofErr w:type="spellStart"/>
      <w:r>
        <w:rPr>
          <w:rFonts w:ascii="Times New Roman" w:eastAsia="Times New Roman" w:hAnsi="Times New Roman" w:cs="Times New Roman"/>
          <w:sz w:val="28"/>
          <w:szCs w:val="28"/>
        </w:rPr>
        <w:t>діяльностей</w:t>
      </w:r>
      <w:proofErr w:type="spellEnd"/>
      <w:r>
        <w:rPr>
          <w:rFonts w:ascii="Times New Roman" w:eastAsia="Times New Roman" w:hAnsi="Times New Roman" w:cs="Times New Roman"/>
          <w:sz w:val="28"/>
          <w:szCs w:val="28"/>
        </w:rPr>
        <w:t>: адвоката, аудитора, оцінювача, експерта, арбітражного керуючого, приватного виконавця, незалежного посередника, члена трудового арбітражу, третейського судді, а також виконання повноважень нотаріуса або державного реєстратора чи суб’єкта державної реєстрації прав, або наданням інших публічних послуг.</w:t>
      </w:r>
    </w:p>
    <w:p w14:paraId="5D1791AA"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По-перше, норма включає в себе невизначене коло суб’єктів, до яких можуть належати у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xml:space="preserve">. адміністратори ЦНАП, працівники сервісних центрів (МРЕВ, акредитаційних комісій, палат і </w:t>
      </w:r>
      <w:proofErr w:type="spellStart"/>
      <w:r>
        <w:rPr>
          <w:rFonts w:ascii="Times New Roman" w:eastAsia="Times New Roman" w:hAnsi="Times New Roman" w:cs="Times New Roman"/>
          <w:sz w:val="28"/>
          <w:szCs w:val="28"/>
        </w:rPr>
        <w:t>т.п</w:t>
      </w:r>
      <w:proofErr w:type="spellEnd"/>
      <w:r>
        <w:rPr>
          <w:rFonts w:ascii="Times New Roman" w:eastAsia="Times New Roman" w:hAnsi="Times New Roman" w:cs="Times New Roman"/>
          <w:sz w:val="28"/>
          <w:szCs w:val="28"/>
        </w:rPr>
        <w:t>.), що не відповідає принципу правової визначеності як складової принципу верховенства права.</w:t>
      </w:r>
    </w:p>
    <w:p w14:paraId="6C3C1713"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Вимога «якості закону» у розумінні п. 1 ст. 5 ЄКПЛ означає, що закон має бути:</w:t>
      </w:r>
    </w:p>
    <w:p w14:paraId="584E1874"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•достатньо доступним</w:t>
      </w:r>
    </w:p>
    <w:p w14:paraId="470D115A"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•чітко сформульованим</w:t>
      </w:r>
    </w:p>
    <w:p w14:paraId="5B5F8329"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•передбачуваним у своєму застосуванні для убезпечення від будь-якого ризику свавілля (див. п. 19 рішення ЄСПЛ у справі «</w:t>
      </w:r>
      <w:proofErr w:type="spellStart"/>
      <w:r>
        <w:rPr>
          <w:rFonts w:ascii="Times New Roman" w:eastAsia="Times New Roman" w:hAnsi="Times New Roman" w:cs="Times New Roman"/>
          <w:sz w:val="28"/>
          <w:szCs w:val="28"/>
        </w:rPr>
        <w:t>Новік</w:t>
      </w:r>
      <w:proofErr w:type="spellEnd"/>
      <w:r>
        <w:rPr>
          <w:rFonts w:ascii="Times New Roman" w:eastAsia="Times New Roman" w:hAnsi="Times New Roman" w:cs="Times New Roman"/>
          <w:sz w:val="28"/>
          <w:szCs w:val="28"/>
        </w:rPr>
        <w:t xml:space="preserve"> проти України»).</w:t>
      </w:r>
    </w:p>
    <w:p w14:paraId="7A379116"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Натомість пропонована редакція таким вимогам не відповідає.</w:t>
      </w:r>
    </w:p>
    <w:p w14:paraId="40C5E6FD"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По-друге, незрозумілим в чому саме діяльність згаданих осіб може шкодити охоронюваним інтересам держави, де об’єктом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є державний суверенітет, територіальна цілісність та недоторканість України.</w:t>
      </w:r>
    </w:p>
    <w:p w14:paraId="033B4444"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 більше, з моменту припинення доступу Міністерством Юстиції до державних реєстрів вказані особи втрачають можливість дійсно виконувати властиві їм функції, як наслідок не можуть нашкодити функціонуванню реєстрів України. Окремим незрозумілим пунктом пропонованої редакції є відсутність в цьому переліку державного виконавця, хоча опції приватного та державного виконавця тотожними (окрім виключно категорій справ, як примусового виконання окремих категорій судових рішень).</w:t>
      </w:r>
    </w:p>
    <w:p w14:paraId="13B69BB4"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Відсутня обґрунтованість та ефективність криміналізації.</w:t>
      </w:r>
    </w:p>
    <w:p w14:paraId="5F80084E"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зміст пропонованої ч.5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передбачається можливість зловживання нормою або несправедливого застосування, відтак - дискримінації.</w:t>
      </w:r>
    </w:p>
    <w:p w14:paraId="4DCB86DB"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Наслідки у контексті перехідного правосуддя незворотні: втрата довіри населення, яке опинилось в окупації, притягнення до відповідальності великої кількості людей, небажання деокупації території, вчинення ще більш серйозних злочинів, бо вже немає що втрачати.</w:t>
      </w:r>
    </w:p>
    <w:p w14:paraId="14015654"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Враховуючи наведене, склад кримінального правопорушення, передбаченого ч.5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має такі характеристики:</w:t>
      </w:r>
    </w:p>
    <w:p w14:paraId="12599508"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Суб’єкт спеціальний: громадянин України, який здійснює професійну діяльність: адвокат, аудитор, оцінювач, експерт, арбітражний керуючий, приватний виконавець, незалежний посередник, член трудового арбітражу, третейський суддя, нотаріус, державний реєстратор, суб’єкт державної реєстрації прав. Вимог щодо віку та інших спеціальних ознак не визначено, проте передбачається, що хоча й застосовуються загальні вимоги до віку, з якого настає кримінальна відповідальність, та водночас вікові особливості </w:t>
      </w:r>
      <w:r>
        <w:rPr>
          <w:rFonts w:ascii="Times New Roman" w:eastAsia="Times New Roman" w:hAnsi="Times New Roman" w:cs="Times New Roman"/>
          <w:sz w:val="28"/>
          <w:szCs w:val="28"/>
        </w:rPr>
        <w:lastRenderedPageBreak/>
        <w:t xml:space="preserve">встановлюються кваліфікаційними вимогами до кожної із зазначених професій. Варто звернути увагу, що автори законопроєкту пропонують </w:t>
      </w:r>
      <w:proofErr w:type="spellStart"/>
      <w:r>
        <w:rPr>
          <w:rFonts w:ascii="Times New Roman" w:eastAsia="Times New Roman" w:hAnsi="Times New Roman" w:cs="Times New Roman"/>
          <w:sz w:val="28"/>
          <w:szCs w:val="28"/>
        </w:rPr>
        <w:t>криміналізувати</w:t>
      </w:r>
      <w:proofErr w:type="spellEnd"/>
      <w:r>
        <w:rPr>
          <w:rFonts w:ascii="Times New Roman" w:eastAsia="Times New Roman" w:hAnsi="Times New Roman" w:cs="Times New Roman"/>
          <w:sz w:val="28"/>
          <w:szCs w:val="28"/>
        </w:rPr>
        <w:t xml:space="preserve"> лише дії громадян України-суб’єктів правопорушення. При цьому вимоги до частини професій, зокрема для адвокатів, передбачають можливість отримання свідоцтва й іноземцями. Така вказівка авторів дещо звужує коло суб’єктів та певною мірою їх дискримінує.</w:t>
      </w:r>
    </w:p>
    <w:p w14:paraId="11B71672"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Суб’єктивна сторона, а саме форма вини, мотив та мета ч.5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не визначені, але з усебічного аналізу слідує, що діяльність суб’єктів кримінального правопорушення може здійснюватися лише з прямим умислом. Мотив та мета правопорушення можуть бути різними, у тому числі з корисливих мотивів, іншими частинами цієї статті не передбачено спеціального складу злочину за таких умов. Відтак мотив та мета на кваліфікацію не впливають.</w:t>
      </w:r>
    </w:p>
    <w:p w14:paraId="37E4D248"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Об’єктивна сторона правопорушення, передбаченого ч.5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встановлює, що суспільно-небезпечне діяння полягає у здійсненні суб’єктом правопорушення професійної діяльності, пов’язаної з наданням послуг адвоката, аудитора, оцінювача, експерта, арбітражного керуючого, приватного виконавця, незалежного посередника, члена трудового арбітражу, третейського судді, а також виконання повноважень нотаріуса або державного реєстратора чи суб’єкта державної реєстрації прав, або наданням інших публічних послуг.</w:t>
      </w:r>
    </w:p>
    <w:p w14:paraId="6063D6D7"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цьому ключовим є місце вчинення правопорушення – на тимчасово окупованій території України, а також спосіб - на підставі законодавства держави-агресора. Відтак, діяльність суб’єктів кримінального правопорушення, наприклад надання професійної правничої допомоги за законодавством України не підпадає під об’єктивну сторону ч. 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w:t>
      </w:r>
    </w:p>
    <w:p w14:paraId="7135E944"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Суспільно-небезпечні наслідки ч. 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не визначені, відтак правопорушення, передбачене цією частиною статті містить формальний склад.</w:t>
      </w:r>
    </w:p>
    <w:p w14:paraId="3C42DCE0"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Родовим об’єктом кримінального правопорушення за ч.5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є основи національної безпеки України, безпосереднім об’єктом  можуть бути державний суверенітет, територіальна цілісність та недоторканість України. Інші додаткові об’єкти, зокрема життя і здоров’я людей та право власності, не визначені.</w:t>
      </w:r>
    </w:p>
    <w:p w14:paraId="6C204AEC"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Санкція ч. 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передбачає як основне покарання позбавлення волі на строк від трьох</w:t>
      </w:r>
    </w:p>
    <w:p w14:paraId="2DE73FDD" w14:textId="77777777" w:rsidR="006C182E" w:rsidRDefault="00000000">
      <w:pPr>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шести років. Додатково обов’язково застосовується позбавлення права обіймати певні посади або займатися певною діяльністю на строк від десяти до п’ятнадцяти років.</w:t>
      </w:r>
    </w:p>
    <w:p w14:paraId="1B89CC24"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додаткове та фактично необов’язкове покарання застосовується конфіскація майна.</w:t>
      </w:r>
    </w:p>
    <w:p w14:paraId="1069462A"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Ураховуючи наведене, кримінальне правопорушення, передбачене ч.5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є тяжким злочином.</w:t>
      </w:r>
    </w:p>
    <w:p w14:paraId="31B57EDE"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Пропоновані авторами зміни до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стосуються також питання добровільності зайняття посади. Така правка загалом відповідає КК України та є обґрунтованою. Кримінальна відповідальність можлива виключно у разі добровільності, в іншому випадку застосовується стаття 40 КК України. Відтак вказівка на добровільність дійсно є зайвою деталізацією.</w:t>
      </w:r>
    </w:p>
    <w:p w14:paraId="1AD0DAAD" w14:textId="77777777" w:rsidR="006C182E" w:rsidRDefault="00000000">
      <w:pPr>
        <w:spacing w:before="240"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зміни є технічними та спрямовані на оновлення нумерації з урахуванням доповнення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частиною п’ятою.</w:t>
      </w:r>
    </w:p>
    <w:p w14:paraId="5961D206" w14:textId="77777777" w:rsidR="006C182E" w:rsidRDefault="006C182E">
      <w:pPr>
        <w:spacing w:after="0"/>
        <w:jc w:val="both"/>
        <w:rPr>
          <w:rFonts w:ascii="Times New Roman" w:eastAsia="Times New Roman" w:hAnsi="Times New Roman" w:cs="Times New Roman"/>
          <w:sz w:val="28"/>
          <w:szCs w:val="28"/>
        </w:rPr>
      </w:pPr>
    </w:p>
    <w:p w14:paraId="18C30C58" w14:textId="77777777" w:rsidR="006C182E" w:rsidRDefault="006C182E">
      <w:pPr>
        <w:spacing w:after="0"/>
        <w:rPr>
          <w:rFonts w:ascii="Times New Roman" w:eastAsia="Times New Roman" w:hAnsi="Times New Roman" w:cs="Times New Roman"/>
          <w:sz w:val="28"/>
          <w:szCs w:val="28"/>
        </w:rPr>
      </w:pPr>
    </w:p>
    <w:sectPr w:rsidR="006C182E">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2E"/>
    <w:rsid w:val="00564606"/>
    <w:rsid w:val="006C182E"/>
    <w:rsid w:val="006D4309"/>
    <w:rsid w:val="00C37BF3"/>
    <w:rsid w:val="00CC5E17"/>
    <w:rsid w:val="00F31914"/>
    <w:rsid w:val="00FF21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0BFD"/>
  <w15:docId w15:val="{D64FD475-AE60-4CF1-8B4E-55C7D169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127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character" w:styleId="a7">
    <w:name w:val="Hyperlink"/>
    <w:basedOn w:val="a0"/>
    <w:uiPriority w:val="99"/>
    <w:unhideWhenUsed/>
    <w:rsid w:val="00F31914"/>
    <w:rPr>
      <w:color w:val="0563C1" w:themeColor="hyperlink"/>
      <w:u w:val="single"/>
    </w:rPr>
  </w:style>
  <w:style w:type="character" w:styleId="a8">
    <w:name w:val="Unresolved Mention"/>
    <w:basedOn w:val="a0"/>
    <w:uiPriority w:val="99"/>
    <w:semiHidden/>
    <w:unhideWhenUsed/>
    <w:rsid w:val="00F31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td.rada.gov.ua/billInfo/Bills/Card/405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lmDgaeCezsEcsG8ND7le0F/bg==">CgMxLjAyDmgucGR2MzYxMW1odzVjOAByITFBYmlVOTB2X2FiUVFPaEJEUF9weTZxc3lfcHltdWZoSg==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9221</Words>
  <Characters>5256</Characters>
  <Application>Microsoft Office Word</Application>
  <DocSecurity>0</DocSecurity>
  <Lines>43</Lines>
  <Paragraphs>28</Paragraphs>
  <ScaleCrop>false</ScaleCrop>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Мирослав Лаврінок</dc:creator>
  <cp:lastModifiedBy>Мирослав Лаврінок</cp:lastModifiedBy>
  <cp:revision>5</cp:revision>
  <dcterms:created xsi:type="dcterms:W3CDTF">2024-09-05T21:30:00Z</dcterms:created>
  <dcterms:modified xsi:type="dcterms:W3CDTF">2024-09-05T21:32:00Z</dcterms:modified>
</cp:coreProperties>
</file>