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5E1E5" w14:textId="77777777" w:rsidR="002C09BD" w:rsidRPr="002C09BD" w:rsidRDefault="002C09BD" w:rsidP="002C09BD">
      <w:pPr>
        <w:spacing w:after="0"/>
        <w:ind w:firstLine="720"/>
        <w:jc w:val="center"/>
        <w:rPr>
          <w:rFonts w:ascii="Times New Roman" w:eastAsia="Times New Roman" w:hAnsi="Times New Roman" w:cs="Times New Roman"/>
          <w:b/>
          <w:sz w:val="28"/>
          <w:szCs w:val="28"/>
        </w:rPr>
      </w:pPr>
      <w:r w:rsidRPr="002C09BD">
        <w:rPr>
          <w:rFonts w:ascii="Times New Roman" w:eastAsia="Times New Roman" w:hAnsi="Times New Roman" w:cs="Times New Roman"/>
          <w:b/>
          <w:sz w:val="28"/>
          <w:szCs w:val="28"/>
        </w:rPr>
        <w:t xml:space="preserve">Висновок </w:t>
      </w:r>
    </w:p>
    <w:p w14:paraId="736EBB90" w14:textId="77777777" w:rsidR="002C09BD" w:rsidRPr="002C09BD" w:rsidRDefault="002C09BD" w:rsidP="002C09BD">
      <w:pPr>
        <w:spacing w:after="0"/>
        <w:ind w:firstLine="720"/>
        <w:jc w:val="center"/>
        <w:rPr>
          <w:rFonts w:ascii="Times New Roman" w:eastAsia="Times New Roman" w:hAnsi="Times New Roman" w:cs="Times New Roman"/>
          <w:b/>
          <w:bCs/>
          <w:sz w:val="28"/>
          <w:szCs w:val="28"/>
        </w:rPr>
      </w:pPr>
      <w:r w:rsidRPr="002C09BD">
        <w:rPr>
          <w:rFonts w:ascii="Times New Roman" w:eastAsia="Times New Roman" w:hAnsi="Times New Roman" w:cs="Times New Roman"/>
          <w:b/>
          <w:sz w:val="28"/>
          <w:szCs w:val="28"/>
        </w:rPr>
        <w:t>до проєкту Закону «П</w:t>
      </w:r>
      <w:r w:rsidRPr="002C09BD">
        <w:rPr>
          <w:rFonts w:ascii="Times New Roman" w:eastAsia="Times New Roman" w:hAnsi="Times New Roman" w:cs="Times New Roman"/>
          <w:b/>
          <w:bCs/>
          <w:sz w:val="28"/>
          <w:szCs w:val="28"/>
        </w:rPr>
        <w:t>ро внесення змін до статті 111-1 Кримінального кодексу України щодо розширення переліку кримінальних правопорушень за здійснення колабораційної діяльності</w:t>
      </w:r>
      <w:r w:rsidRPr="002C09BD">
        <w:rPr>
          <w:rFonts w:ascii="Times New Roman" w:eastAsia="Times New Roman" w:hAnsi="Times New Roman" w:cs="Times New Roman"/>
          <w:b/>
          <w:bCs/>
          <w:sz w:val="28"/>
          <w:szCs w:val="28"/>
        </w:rPr>
        <w:t xml:space="preserve">» </w:t>
      </w:r>
    </w:p>
    <w:p w14:paraId="00000001" w14:textId="4B18046E" w:rsidR="00C8459B" w:rsidRDefault="002C09BD" w:rsidP="002C09BD">
      <w:pPr>
        <w:spacing w:after="0"/>
        <w:ind w:firstLine="720"/>
        <w:jc w:val="center"/>
        <w:rPr>
          <w:rFonts w:ascii="Times New Roman" w:eastAsia="Times New Roman" w:hAnsi="Times New Roman" w:cs="Times New Roman"/>
          <w:b/>
          <w:sz w:val="28"/>
          <w:szCs w:val="28"/>
        </w:rPr>
      </w:pPr>
      <w:r w:rsidRPr="002C09BD">
        <w:rPr>
          <w:rFonts w:ascii="Times New Roman" w:eastAsia="Times New Roman" w:hAnsi="Times New Roman" w:cs="Times New Roman"/>
          <w:b/>
          <w:bCs/>
          <w:sz w:val="28"/>
          <w:szCs w:val="28"/>
        </w:rPr>
        <w:t xml:space="preserve">(реєстр. </w:t>
      </w:r>
      <w:hyperlink r:id="rId6" w:history="1">
        <w:r w:rsidR="00000000" w:rsidRPr="002C09BD">
          <w:rPr>
            <w:rStyle w:val="af"/>
            <w:rFonts w:ascii="Times New Roman" w:eastAsia="Times New Roman" w:hAnsi="Times New Roman" w:cs="Times New Roman"/>
            <w:b/>
            <w:sz w:val="28"/>
            <w:szCs w:val="28"/>
          </w:rPr>
          <w:t>№ 7</w:t>
        </w:r>
        <w:r w:rsidR="00000000" w:rsidRPr="002C09BD">
          <w:rPr>
            <w:rStyle w:val="af"/>
            <w:rFonts w:ascii="Times New Roman" w:eastAsia="Times New Roman" w:hAnsi="Times New Roman" w:cs="Times New Roman"/>
            <w:b/>
            <w:sz w:val="28"/>
            <w:szCs w:val="28"/>
          </w:rPr>
          <w:t>2</w:t>
        </w:r>
        <w:r w:rsidR="00000000" w:rsidRPr="002C09BD">
          <w:rPr>
            <w:rStyle w:val="af"/>
            <w:rFonts w:ascii="Times New Roman" w:eastAsia="Times New Roman" w:hAnsi="Times New Roman" w:cs="Times New Roman"/>
            <w:b/>
            <w:sz w:val="28"/>
            <w:szCs w:val="28"/>
          </w:rPr>
          <w:t>23</w:t>
        </w:r>
      </w:hyperlink>
      <w:r w:rsidR="00000000" w:rsidRPr="002C09BD">
        <w:rPr>
          <w:rFonts w:ascii="Times New Roman" w:eastAsia="Times New Roman" w:hAnsi="Times New Roman" w:cs="Times New Roman"/>
          <w:b/>
          <w:sz w:val="28"/>
          <w:szCs w:val="28"/>
        </w:rPr>
        <w:t xml:space="preserve"> від 28.03.2022</w:t>
      </w:r>
      <w:r w:rsidRPr="002C09BD">
        <w:rPr>
          <w:rFonts w:ascii="Times New Roman" w:eastAsia="Times New Roman" w:hAnsi="Times New Roman" w:cs="Times New Roman"/>
          <w:b/>
          <w:sz w:val="28"/>
          <w:szCs w:val="28"/>
        </w:rPr>
        <w:t>)</w:t>
      </w:r>
    </w:p>
    <w:p w14:paraId="6798FBF3" w14:textId="77777777" w:rsidR="002C09BD" w:rsidRPr="002C09BD" w:rsidRDefault="002C09BD" w:rsidP="002C09BD">
      <w:pPr>
        <w:spacing w:after="0"/>
        <w:ind w:firstLine="720"/>
        <w:jc w:val="center"/>
        <w:rPr>
          <w:rFonts w:ascii="Times New Roman" w:eastAsia="Times New Roman" w:hAnsi="Times New Roman" w:cs="Times New Roman"/>
          <w:b/>
          <w:sz w:val="28"/>
          <w:szCs w:val="28"/>
        </w:rPr>
      </w:pPr>
    </w:p>
    <w:p w14:paraId="00000002" w14:textId="77777777" w:rsidR="00C8459B" w:rsidRPr="002C09BD" w:rsidRDefault="00000000" w:rsidP="00A87729">
      <w:pPr>
        <w:ind w:firstLine="720"/>
        <w:jc w:val="both"/>
        <w:rPr>
          <w:rFonts w:ascii="Times New Roman" w:eastAsia="Times New Roman" w:hAnsi="Times New Roman" w:cs="Times New Roman"/>
          <w:b/>
          <w:sz w:val="28"/>
          <w:szCs w:val="28"/>
        </w:rPr>
      </w:pPr>
      <w:r w:rsidRPr="002C09BD">
        <w:rPr>
          <w:rFonts w:ascii="Times New Roman" w:eastAsia="Times New Roman" w:hAnsi="Times New Roman" w:cs="Times New Roman"/>
          <w:b/>
          <w:sz w:val="28"/>
          <w:szCs w:val="28"/>
        </w:rPr>
        <w:t>Загальна характеристика.</w:t>
      </w:r>
    </w:p>
    <w:p w14:paraId="00000003" w14:textId="398777A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 xml:space="preserve">Означеним законопроєктом пропонується ст. 111-1 КК України доповнити частиною другою такого змісту: «Перебування громадянина України у громадянстві (підданстві) іншої держави, яка здійснює збройну агресію проти України, </w:t>
      </w:r>
      <w:r w:rsidR="005B0A50" w:rsidRPr="002C09BD">
        <w:rPr>
          <w:rFonts w:ascii="Times New Roman" w:eastAsia="Times New Roman" w:hAnsi="Times New Roman" w:cs="Times New Roman"/>
          <w:sz w:val="28"/>
          <w:szCs w:val="28"/>
        </w:rPr>
        <w:t xml:space="preserve">– </w:t>
      </w:r>
      <w:r w:rsidRPr="002C09BD">
        <w:rPr>
          <w:rFonts w:ascii="Times New Roman" w:eastAsia="Times New Roman" w:hAnsi="Times New Roman" w:cs="Times New Roman"/>
          <w:sz w:val="28"/>
          <w:szCs w:val="28"/>
        </w:rPr>
        <w:t>карається позбавленням права обіймати певні посади або займатися певною діяльністю на строк від десяти до п’ятнадцяти років з конфіскацією майна або без такої»</w:t>
      </w:r>
      <w:r w:rsidR="00A87729" w:rsidRPr="002C09BD">
        <w:rPr>
          <w:rFonts w:ascii="Times New Roman" w:eastAsia="Times New Roman" w:hAnsi="Times New Roman" w:cs="Times New Roman"/>
          <w:sz w:val="28"/>
          <w:szCs w:val="28"/>
        </w:rPr>
        <w:t>.</w:t>
      </w:r>
    </w:p>
    <w:p w14:paraId="00000004" w14:textId="1D0622DA"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Суб’єкт</w:t>
      </w:r>
      <w:r w:rsidR="00A87729" w:rsidRPr="002C09BD">
        <w:rPr>
          <w:rFonts w:ascii="Times New Roman" w:eastAsia="Times New Roman" w:hAnsi="Times New Roman" w:cs="Times New Roman"/>
          <w:sz w:val="28"/>
          <w:szCs w:val="28"/>
        </w:rPr>
        <w:t>:</w:t>
      </w:r>
      <w:r w:rsidRPr="002C09BD">
        <w:rPr>
          <w:rFonts w:ascii="Times New Roman" w:eastAsia="Times New Roman" w:hAnsi="Times New Roman" w:cs="Times New Roman"/>
          <w:sz w:val="28"/>
          <w:szCs w:val="28"/>
        </w:rPr>
        <w:t xml:space="preserve"> спеціальний – громадянин України.</w:t>
      </w:r>
    </w:p>
    <w:p w14:paraId="00000005" w14:textId="35AF91ED" w:rsidR="00C8459B" w:rsidRPr="002C09BD" w:rsidRDefault="00000000" w:rsidP="00A87729">
      <w:pPr>
        <w:spacing w:after="0"/>
        <w:ind w:firstLine="720"/>
        <w:jc w:val="both"/>
        <w:rPr>
          <w:rFonts w:ascii="Times New Roman" w:eastAsia="Times New Roman" w:hAnsi="Times New Roman" w:cs="Times New Roman"/>
          <w:color w:val="333333"/>
          <w:sz w:val="28"/>
          <w:szCs w:val="28"/>
          <w:highlight w:val="white"/>
        </w:rPr>
      </w:pPr>
      <w:r w:rsidRPr="002C09BD">
        <w:rPr>
          <w:rFonts w:ascii="Times New Roman" w:eastAsia="Times New Roman" w:hAnsi="Times New Roman" w:cs="Times New Roman"/>
          <w:sz w:val="28"/>
          <w:szCs w:val="28"/>
        </w:rPr>
        <w:t>Вік</w:t>
      </w:r>
      <w:r w:rsidR="005B0A50" w:rsidRPr="002C09BD">
        <w:rPr>
          <w:rFonts w:ascii="Times New Roman" w:eastAsia="Times New Roman" w:hAnsi="Times New Roman" w:cs="Times New Roman"/>
          <w:sz w:val="28"/>
          <w:szCs w:val="28"/>
        </w:rPr>
        <w:t xml:space="preserve">: </w:t>
      </w:r>
      <w:r w:rsidRPr="002C09BD">
        <w:rPr>
          <w:rFonts w:ascii="Times New Roman" w:eastAsia="Times New Roman" w:hAnsi="Times New Roman" w:cs="Times New Roman"/>
          <w:sz w:val="28"/>
          <w:szCs w:val="28"/>
        </w:rPr>
        <w:t>к</w:t>
      </w:r>
      <w:r w:rsidRPr="002C09BD">
        <w:rPr>
          <w:rFonts w:ascii="Times New Roman" w:eastAsia="Times New Roman" w:hAnsi="Times New Roman" w:cs="Times New Roman"/>
          <w:color w:val="333333"/>
          <w:sz w:val="28"/>
          <w:szCs w:val="28"/>
          <w:highlight w:val="white"/>
        </w:rPr>
        <w:t>римінальній відповідальності за ч. 2 ст. 111-1 КК України (за проєктом) підлягають особи, яким до вчинення кримінального правопорушення виповнилося шістнадцять років.</w:t>
      </w:r>
    </w:p>
    <w:p w14:paraId="00000006" w14:textId="77C87B9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Суб’єктивна сторона: форма вини – прямий умисел. Мотив і мета на кваліфікацію не впливають</w:t>
      </w:r>
      <w:r w:rsidR="00377AA2" w:rsidRPr="002C09BD">
        <w:rPr>
          <w:rFonts w:ascii="Times New Roman" w:eastAsia="Times New Roman" w:hAnsi="Times New Roman" w:cs="Times New Roman"/>
          <w:sz w:val="28"/>
          <w:szCs w:val="28"/>
        </w:rPr>
        <w:t>.</w:t>
      </w:r>
    </w:p>
    <w:p w14:paraId="00000007"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Об’єктивна сторона:  перебування в громадянстві (підданстві) іншої держави, яка здійснює збройну агресію проти України.</w:t>
      </w:r>
    </w:p>
    <w:p w14:paraId="00000008" w14:textId="6BE8978B" w:rsidR="00C8459B" w:rsidRPr="002C09BD" w:rsidRDefault="00000000" w:rsidP="00A87729">
      <w:pPr>
        <w:pBdr>
          <w:top w:val="nil"/>
          <w:left w:val="nil"/>
          <w:bottom w:val="nil"/>
          <w:right w:val="nil"/>
          <w:between w:val="nil"/>
        </w:pBdr>
        <w:spacing w:after="0"/>
        <w:ind w:firstLine="720"/>
        <w:jc w:val="both"/>
        <w:rPr>
          <w:rFonts w:ascii="Times New Roman" w:eastAsia="Times New Roman" w:hAnsi="Times New Roman" w:cs="Times New Roman"/>
          <w:color w:val="040C28"/>
          <w:sz w:val="28"/>
          <w:szCs w:val="28"/>
        </w:rPr>
      </w:pPr>
      <w:r w:rsidRPr="002C09BD">
        <w:rPr>
          <w:rFonts w:ascii="Times New Roman" w:eastAsia="Times New Roman" w:hAnsi="Times New Roman" w:cs="Times New Roman"/>
          <w:color w:val="000000"/>
          <w:sz w:val="28"/>
          <w:szCs w:val="28"/>
        </w:rPr>
        <w:t>Склад злочину</w:t>
      </w:r>
      <w:r w:rsidR="005B0A50" w:rsidRPr="002C09BD">
        <w:rPr>
          <w:rFonts w:ascii="Times New Roman" w:eastAsia="Times New Roman" w:hAnsi="Times New Roman" w:cs="Times New Roman"/>
          <w:color w:val="000000"/>
          <w:sz w:val="28"/>
          <w:szCs w:val="28"/>
        </w:rPr>
        <w:t xml:space="preserve">: </w:t>
      </w:r>
      <w:r w:rsidRPr="002C09BD">
        <w:rPr>
          <w:rFonts w:ascii="Times New Roman" w:eastAsia="Times New Roman" w:hAnsi="Times New Roman" w:cs="Times New Roman"/>
          <w:color w:val="000000"/>
          <w:sz w:val="28"/>
          <w:szCs w:val="28"/>
        </w:rPr>
        <w:t>формальний  (</w:t>
      </w:r>
      <w:r w:rsidRPr="002C09BD">
        <w:rPr>
          <w:rFonts w:ascii="Times New Roman" w:eastAsia="Times New Roman" w:hAnsi="Times New Roman" w:cs="Times New Roman"/>
          <w:color w:val="040C28"/>
          <w:sz w:val="28"/>
          <w:szCs w:val="28"/>
        </w:rPr>
        <w:t>Для наявності об'єктивної сторони не обов'язкове настання суспільно небезпечних наслідків для кваліфікації кримінального правопорушення за ч.2 ст. 111-1 КК України (за проєктом).</w:t>
      </w:r>
    </w:p>
    <w:p w14:paraId="00000009" w14:textId="4882F410" w:rsidR="00C8459B" w:rsidRPr="002C09BD" w:rsidRDefault="00000000" w:rsidP="00A87729">
      <w:pPr>
        <w:pBdr>
          <w:top w:val="nil"/>
          <w:left w:val="nil"/>
          <w:bottom w:val="nil"/>
          <w:right w:val="nil"/>
          <w:between w:val="nil"/>
        </w:pBdr>
        <w:spacing w:after="0"/>
        <w:ind w:firstLine="720"/>
        <w:jc w:val="both"/>
        <w:rPr>
          <w:rFonts w:ascii="Times New Roman" w:eastAsia="Times New Roman" w:hAnsi="Times New Roman" w:cs="Times New Roman"/>
          <w:color w:val="040C28"/>
          <w:sz w:val="28"/>
          <w:szCs w:val="28"/>
        </w:rPr>
      </w:pPr>
      <w:r w:rsidRPr="002C09BD">
        <w:rPr>
          <w:rFonts w:ascii="Times New Roman" w:eastAsia="Times New Roman" w:hAnsi="Times New Roman" w:cs="Times New Roman"/>
          <w:color w:val="040C28"/>
          <w:sz w:val="28"/>
          <w:szCs w:val="28"/>
        </w:rPr>
        <w:t>Об’єкт</w:t>
      </w:r>
      <w:r w:rsidR="005B0A50" w:rsidRPr="002C09BD">
        <w:rPr>
          <w:rFonts w:ascii="Times New Roman" w:eastAsia="Times New Roman" w:hAnsi="Times New Roman" w:cs="Times New Roman"/>
          <w:color w:val="040C28"/>
          <w:sz w:val="28"/>
          <w:szCs w:val="28"/>
        </w:rPr>
        <w:t>:</w:t>
      </w:r>
      <w:r w:rsidRPr="002C09BD">
        <w:rPr>
          <w:rFonts w:ascii="Times New Roman" w:eastAsia="Times New Roman" w:hAnsi="Times New Roman" w:cs="Times New Roman"/>
          <w:color w:val="040C28"/>
          <w:sz w:val="28"/>
          <w:szCs w:val="28"/>
        </w:rPr>
        <w:t xml:space="preserve"> основи національної безпеки.</w:t>
      </w:r>
    </w:p>
    <w:p w14:paraId="0000000A" w14:textId="516D8C63" w:rsidR="00C8459B" w:rsidRPr="002C09BD" w:rsidRDefault="00000000" w:rsidP="00A87729">
      <w:pPr>
        <w:pBdr>
          <w:top w:val="nil"/>
          <w:left w:val="nil"/>
          <w:bottom w:val="nil"/>
          <w:right w:val="nil"/>
          <w:between w:val="nil"/>
        </w:pBdr>
        <w:spacing w:after="0"/>
        <w:ind w:firstLine="720"/>
        <w:jc w:val="both"/>
        <w:rPr>
          <w:rFonts w:ascii="Times New Roman" w:eastAsia="Times New Roman" w:hAnsi="Times New Roman" w:cs="Times New Roman"/>
          <w:color w:val="040C28"/>
          <w:sz w:val="28"/>
          <w:szCs w:val="28"/>
        </w:rPr>
      </w:pPr>
      <w:r w:rsidRPr="002C09BD">
        <w:rPr>
          <w:rFonts w:ascii="Times New Roman" w:eastAsia="Times New Roman" w:hAnsi="Times New Roman" w:cs="Times New Roman"/>
          <w:color w:val="040C28"/>
          <w:sz w:val="28"/>
          <w:szCs w:val="28"/>
        </w:rPr>
        <w:t>Санкція</w:t>
      </w:r>
      <w:r w:rsidR="005B0A50" w:rsidRPr="002C09BD">
        <w:rPr>
          <w:rFonts w:ascii="Times New Roman" w:eastAsia="Times New Roman" w:hAnsi="Times New Roman" w:cs="Times New Roman"/>
          <w:color w:val="040C28"/>
          <w:sz w:val="28"/>
          <w:szCs w:val="28"/>
        </w:rPr>
        <w:t xml:space="preserve">: </w:t>
      </w:r>
      <w:r w:rsidRPr="002C09BD">
        <w:rPr>
          <w:rFonts w:ascii="Times New Roman" w:eastAsia="Times New Roman" w:hAnsi="Times New Roman" w:cs="Times New Roman"/>
          <w:color w:val="040C28"/>
          <w:sz w:val="28"/>
          <w:szCs w:val="28"/>
        </w:rPr>
        <w:t>позбавлення права обіймати певні посади або займатись певною діяльністю на строк від 10 до 15 років з необов’язковим додатковим покаранням у виді конфіскації майна.</w:t>
      </w:r>
    </w:p>
    <w:p w14:paraId="0000000B" w14:textId="539411BE" w:rsidR="00C8459B" w:rsidRPr="002C09BD" w:rsidRDefault="00E53BED" w:rsidP="00A87729">
      <w:pPr>
        <w:pBdr>
          <w:top w:val="nil"/>
          <w:left w:val="nil"/>
          <w:bottom w:val="nil"/>
          <w:right w:val="nil"/>
          <w:between w:val="nil"/>
        </w:pBdr>
        <w:spacing w:after="0"/>
        <w:ind w:firstLine="720"/>
        <w:jc w:val="both"/>
        <w:rPr>
          <w:rFonts w:ascii="Times New Roman" w:eastAsia="Times New Roman" w:hAnsi="Times New Roman" w:cs="Times New Roman"/>
          <w:color w:val="040C28"/>
          <w:sz w:val="28"/>
          <w:szCs w:val="28"/>
        </w:rPr>
      </w:pPr>
      <w:r w:rsidRPr="002C09BD">
        <w:rPr>
          <w:rFonts w:ascii="Times New Roman" w:eastAsia="Times New Roman" w:hAnsi="Times New Roman" w:cs="Times New Roman"/>
          <w:color w:val="040C28"/>
          <w:sz w:val="28"/>
          <w:szCs w:val="28"/>
        </w:rPr>
        <w:t>Законопроєкт не конкурує з іншими нормами КК України.</w:t>
      </w:r>
    </w:p>
    <w:p w14:paraId="0000000C" w14:textId="77777777" w:rsidR="00C8459B" w:rsidRPr="002C09BD" w:rsidRDefault="00000000" w:rsidP="00A87729">
      <w:pPr>
        <w:pBdr>
          <w:top w:val="nil"/>
          <w:left w:val="nil"/>
          <w:bottom w:val="nil"/>
          <w:right w:val="nil"/>
          <w:between w:val="nil"/>
        </w:pBdr>
        <w:spacing w:after="0"/>
        <w:ind w:firstLine="720"/>
        <w:jc w:val="both"/>
        <w:rPr>
          <w:rFonts w:ascii="Times New Roman" w:eastAsia="Times New Roman" w:hAnsi="Times New Roman" w:cs="Times New Roman"/>
          <w:b/>
          <w:iCs/>
          <w:color w:val="040C28"/>
          <w:sz w:val="28"/>
          <w:szCs w:val="28"/>
        </w:rPr>
      </w:pPr>
      <w:r w:rsidRPr="002C09BD">
        <w:rPr>
          <w:rFonts w:ascii="Times New Roman" w:eastAsia="Times New Roman" w:hAnsi="Times New Roman" w:cs="Times New Roman"/>
          <w:b/>
          <w:iCs/>
          <w:color w:val="040C28"/>
          <w:sz w:val="28"/>
          <w:szCs w:val="28"/>
        </w:rPr>
        <w:t>Щодо відповідності  Конституції України та національному законодавству.</w:t>
      </w:r>
    </w:p>
    <w:p w14:paraId="0000000D" w14:textId="77777777" w:rsidR="00C8459B" w:rsidRPr="002C09BD" w:rsidRDefault="00000000" w:rsidP="00A87729">
      <w:pPr>
        <w:pBdr>
          <w:top w:val="nil"/>
          <w:left w:val="nil"/>
          <w:bottom w:val="nil"/>
          <w:right w:val="nil"/>
          <w:between w:val="nil"/>
        </w:pBdr>
        <w:spacing w:after="0"/>
        <w:ind w:firstLine="720"/>
        <w:jc w:val="both"/>
        <w:rPr>
          <w:rFonts w:ascii="Times New Roman" w:eastAsia="Times New Roman" w:hAnsi="Times New Roman" w:cs="Times New Roman"/>
          <w:color w:val="040C28"/>
          <w:sz w:val="28"/>
          <w:szCs w:val="28"/>
        </w:rPr>
      </w:pPr>
      <w:r w:rsidRPr="002C09BD">
        <w:rPr>
          <w:rFonts w:ascii="Times New Roman" w:eastAsia="Times New Roman" w:hAnsi="Times New Roman" w:cs="Times New Roman"/>
          <w:color w:val="040C28"/>
          <w:sz w:val="28"/>
          <w:szCs w:val="28"/>
        </w:rPr>
        <w:t xml:space="preserve">Загалом зазначений законопроєкт не відповідає Конституції України та національному законодавству з огляду на наступне: </w:t>
      </w:r>
    </w:p>
    <w:p w14:paraId="0000000E" w14:textId="08565BBB" w:rsidR="00C8459B" w:rsidRPr="002C09BD" w:rsidRDefault="00000000" w:rsidP="002C09BD">
      <w:pPr>
        <w:pBdr>
          <w:top w:val="nil"/>
          <w:left w:val="nil"/>
          <w:bottom w:val="nil"/>
          <w:right w:val="nil"/>
          <w:between w:val="nil"/>
        </w:pBdr>
        <w:spacing w:after="0"/>
        <w:ind w:firstLine="720"/>
        <w:jc w:val="both"/>
        <w:rPr>
          <w:rFonts w:ascii="Times New Roman" w:eastAsia="Times New Roman" w:hAnsi="Times New Roman" w:cs="Times New Roman"/>
          <w:color w:val="293A55"/>
          <w:sz w:val="28"/>
          <w:szCs w:val="28"/>
          <w:highlight w:val="white"/>
        </w:rPr>
      </w:pPr>
      <w:hyperlink r:id="rId7">
        <w:r w:rsidRPr="002C09BD">
          <w:rPr>
            <w:rFonts w:ascii="Times New Roman" w:eastAsia="Times New Roman" w:hAnsi="Times New Roman" w:cs="Times New Roman"/>
            <w:color w:val="00ADFA"/>
            <w:sz w:val="28"/>
            <w:szCs w:val="28"/>
            <w:highlight w:val="white"/>
          </w:rPr>
          <w:t>Конституція України</w:t>
        </w:r>
      </w:hyperlink>
      <w:r w:rsidRPr="002C09BD">
        <w:rPr>
          <w:rFonts w:ascii="Times New Roman" w:eastAsia="Times New Roman" w:hAnsi="Times New Roman" w:cs="Times New Roman"/>
          <w:color w:val="293A55"/>
          <w:sz w:val="28"/>
          <w:szCs w:val="28"/>
          <w:highlight w:val="white"/>
        </w:rPr>
        <w:t> визначає основні права і свободи людини і громадянина та гарантії їх дотримання і захисту, зокрема: конституційні права і свободи не можуть бути скасовані; при прийнятті нових законів або внесенні змін до чинних законів не допускається звуження змісту та обсягу існуючих прав і свобод (</w:t>
      </w:r>
      <w:hyperlink r:id="rId8">
        <w:r w:rsidRPr="002C09BD">
          <w:rPr>
            <w:rFonts w:ascii="Times New Roman" w:eastAsia="Times New Roman" w:hAnsi="Times New Roman" w:cs="Times New Roman"/>
            <w:color w:val="00ADFA"/>
            <w:sz w:val="28"/>
            <w:szCs w:val="28"/>
            <w:highlight w:val="white"/>
          </w:rPr>
          <w:t>стаття 22</w:t>
        </w:r>
      </w:hyperlink>
      <w:r w:rsidRPr="002C09BD">
        <w:rPr>
          <w:rFonts w:ascii="Times New Roman" w:eastAsia="Times New Roman" w:hAnsi="Times New Roman" w:cs="Times New Roman"/>
          <w:color w:val="293A55"/>
          <w:sz w:val="28"/>
          <w:szCs w:val="28"/>
          <w:highlight w:val="white"/>
        </w:rPr>
        <w:t>); громадяни мають рівні конституційні права і свободи та є рівними перед законом (частина перша </w:t>
      </w:r>
      <w:hyperlink r:id="rId9">
        <w:r w:rsidRPr="002C09BD">
          <w:rPr>
            <w:rFonts w:ascii="Times New Roman" w:eastAsia="Times New Roman" w:hAnsi="Times New Roman" w:cs="Times New Roman"/>
            <w:color w:val="00ADFA"/>
            <w:sz w:val="28"/>
            <w:szCs w:val="28"/>
            <w:highlight w:val="white"/>
          </w:rPr>
          <w:t>статті</w:t>
        </w:r>
        <w:r w:rsidR="002C09BD">
          <w:rPr>
            <w:rFonts w:ascii="Times New Roman" w:eastAsia="Times New Roman" w:hAnsi="Times New Roman" w:cs="Times New Roman"/>
            <w:color w:val="00ADFA"/>
            <w:sz w:val="28"/>
            <w:szCs w:val="28"/>
            <w:highlight w:val="white"/>
          </w:rPr>
          <w:t xml:space="preserve"> </w:t>
        </w:r>
        <w:r w:rsidRPr="002C09BD">
          <w:rPr>
            <w:rFonts w:ascii="Times New Roman" w:eastAsia="Times New Roman" w:hAnsi="Times New Roman" w:cs="Times New Roman"/>
            <w:color w:val="00ADFA"/>
            <w:sz w:val="28"/>
            <w:szCs w:val="28"/>
            <w:highlight w:val="white"/>
          </w:rPr>
          <w:t>24</w:t>
        </w:r>
      </w:hyperlink>
      <w:r w:rsidRPr="002C09BD">
        <w:rPr>
          <w:rFonts w:ascii="Times New Roman" w:eastAsia="Times New Roman" w:hAnsi="Times New Roman" w:cs="Times New Roman"/>
          <w:color w:val="293A55"/>
          <w:sz w:val="28"/>
          <w:szCs w:val="28"/>
          <w:highlight w:val="white"/>
        </w:rPr>
        <w:t>); юридична відповідальність особи має індивідуальний характер (частина друга </w:t>
      </w:r>
      <w:hyperlink r:id="rId10">
        <w:r w:rsidRPr="002C09BD">
          <w:rPr>
            <w:rFonts w:ascii="Times New Roman" w:eastAsia="Times New Roman" w:hAnsi="Times New Roman" w:cs="Times New Roman"/>
            <w:color w:val="00ADFA"/>
            <w:sz w:val="28"/>
            <w:szCs w:val="28"/>
            <w:highlight w:val="white"/>
          </w:rPr>
          <w:t>статті 61</w:t>
        </w:r>
      </w:hyperlink>
      <w:r w:rsidRPr="002C09BD">
        <w:rPr>
          <w:rFonts w:ascii="Times New Roman" w:eastAsia="Times New Roman" w:hAnsi="Times New Roman" w:cs="Times New Roman"/>
          <w:color w:val="293A55"/>
          <w:sz w:val="28"/>
          <w:szCs w:val="28"/>
          <w:highlight w:val="white"/>
        </w:rPr>
        <w:t xml:space="preserve">); обвинувачення не може ґрунтуватися на доказах, одержаних незаконним </w:t>
      </w:r>
      <w:r w:rsidRPr="002C09BD">
        <w:rPr>
          <w:rFonts w:ascii="Times New Roman" w:eastAsia="Times New Roman" w:hAnsi="Times New Roman" w:cs="Times New Roman"/>
          <w:color w:val="293A55"/>
          <w:sz w:val="28"/>
          <w:szCs w:val="28"/>
          <w:highlight w:val="white"/>
        </w:rPr>
        <w:lastRenderedPageBreak/>
        <w:t>шляхом, а також на припущеннях; усі сумніви щодо доведеності вини особи тлумачаться на її користь (частина третя </w:t>
      </w:r>
      <w:hyperlink r:id="rId11">
        <w:r w:rsidRPr="002C09BD">
          <w:rPr>
            <w:rFonts w:ascii="Times New Roman" w:eastAsia="Times New Roman" w:hAnsi="Times New Roman" w:cs="Times New Roman"/>
            <w:color w:val="00ADFA"/>
            <w:sz w:val="28"/>
            <w:szCs w:val="28"/>
            <w:highlight w:val="white"/>
          </w:rPr>
          <w:t>статті 62</w:t>
        </w:r>
      </w:hyperlink>
      <w:r w:rsidRPr="002C09BD">
        <w:rPr>
          <w:rFonts w:ascii="Times New Roman" w:eastAsia="Times New Roman" w:hAnsi="Times New Roman" w:cs="Times New Roman"/>
          <w:color w:val="293A55"/>
          <w:sz w:val="28"/>
          <w:szCs w:val="28"/>
          <w:highlight w:val="white"/>
        </w:rPr>
        <w:t>)</w:t>
      </w:r>
      <w:r w:rsidR="00CC5C4B" w:rsidRPr="002C09BD">
        <w:rPr>
          <w:rFonts w:ascii="Times New Roman" w:eastAsia="Times New Roman" w:hAnsi="Times New Roman" w:cs="Times New Roman"/>
          <w:color w:val="293A55"/>
          <w:sz w:val="28"/>
          <w:szCs w:val="28"/>
          <w:highlight w:val="white"/>
        </w:rPr>
        <w:t>.</w:t>
      </w:r>
    </w:p>
    <w:p w14:paraId="0000000F" w14:textId="3EF3BCAA" w:rsidR="00C8459B" w:rsidRPr="002C09BD" w:rsidRDefault="00000000" w:rsidP="00A87729">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r w:rsidRPr="002C09BD">
        <w:rPr>
          <w:rFonts w:ascii="Times New Roman" w:eastAsia="Times New Roman" w:hAnsi="Times New Roman" w:cs="Times New Roman"/>
          <w:color w:val="000000"/>
          <w:sz w:val="28"/>
          <w:szCs w:val="28"/>
        </w:rPr>
        <w:t>Фактично</w:t>
      </w:r>
      <w:r w:rsidR="00CC5C4B" w:rsidRPr="002C09BD">
        <w:rPr>
          <w:rFonts w:ascii="Times New Roman" w:eastAsia="Times New Roman" w:hAnsi="Times New Roman" w:cs="Times New Roman"/>
          <w:color w:val="000000"/>
          <w:sz w:val="28"/>
          <w:szCs w:val="28"/>
        </w:rPr>
        <w:t>,</w:t>
      </w:r>
      <w:r w:rsidRPr="002C09BD">
        <w:rPr>
          <w:rFonts w:ascii="Times New Roman" w:eastAsia="Times New Roman" w:hAnsi="Times New Roman" w:cs="Times New Roman"/>
          <w:color w:val="000000"/>
          <w:sz w:val="28"/>
          <w:szCs w:val="28"/>
        </w:rPr>
        <w:t xml:space="preserve"> прийняття цього законопро</w:t>
      </w:r>
      <w:r w:rsidR="005B0A50" w:rsidRPr="002C09BD">
        <w:rPr>
          <w:rFonts w:ascii="Times New Roman" w:eastAsia="Times New Roman" w:hAnsi="Times New Roman" w:cs="Times New Roman"/>
          <w:color w:val="000000"/>
          <w:sz w:val="28"/>
          <w:szCs w:val="28"/>
        </w:rPr>
        <w:t>є</w:t>
      </w:r>
      <w:r w:rsidRPr="002C09BD">
        <w:rPr>
          <w:rFonts w:ascii="Times New Roman" w:eastAsia="Times New Roman" w:hAnsi="Times New Roman" w:cs="Times New Roman"/>
          <w:color w:val="000000"/>
          <w:sz w:val="28"/>
          <w:szCs w:val="28"/>
        </w:rPr>
        <w:t xml:space="preserve">кту </w:t>
      </w:r>
      <w:r w:rsidR="00CC5C4B" w:rsidRPr="002C09BD">
        <w:rPr>
          <w:rFonts w:ascii="Times New Roman" w:eastAsia="Times New Roman" w:hAnsi="Times New Roman" w:cs="Times New Roman"/>
          <w:color w:val="000000"/>
          <w:sz w:val="28"/>
          <w:szCs w:val="28"/>
        </w:rPr>
        <w:t>матиме наслідком</w:t>
      </w:r>
      <w:r w:rsidRPr="002C09BD">
        <w:rPr>
          <w:rFonts w:ascii="Times New Roman" w:eastAsia="Times New Roman" w:hAnsi="Times New Roman" w:cs="Times New Roman"/>
          <w:color w:val="000000"/>
          <w:sz w:val="28"/>
          <w:szCs w:val="28"/>
        </w:rPr>
        <w:t xml:space="preserve"> звуження змісту та обсягу прав і свобод осіб, які мають множинне громадянство - встановлення кримінальної відповідальності не за суспільно небезпечне винне діяння, а за правовий стан перебування в громадянстві іншої держави (невідповідність статтям 22, 61 КУ).</w:t>
      </w:r>
    </w:p>
    <w:p w14:paraId="00000010" w14:textId="7409BFDD" w:rsidR="00C8459B" w:rsidRPr="002C09BD" w:rsidRDefault="00B97C62" w:rsidP="00A87729">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highlight w:val="white"/>
        </w:rPr>
      </w:pPr>
      <w:r w:rsidRPr="002C09BD">
        <w:rPr>
          <w:rFonts w:ascii="Times New Roman" w:eastAsia="Times New Roman" w:hAnsi="Times New Roman" w:cs="Times New Roman"/>
          <w:color w:val="293A55"/>
          <w:sz w:val="28"/>
          <w:szCs w:val="28"/>
          <w:highlight w:val="white"/>
        </w:rPr>
        <w:t>З пояснювальної записки законопро</w:t>
      </w:r>
      <w:r w:rsidR="005B0A50" w:rsidRPr="002C09BD">
        <w:rPr>
          <w:rFonts w:ascii="Times New Roman" w:eastAsia="Times New Roman" w:hAnsi="Times New Roman" w:cs="Times New Roman"/>
          <w:color w:val="293A55"/>
          <w:sz w:val="28"/>
          <w:szCs w:val="28"/>
          <w:highlight w:val="white"/>
        </w:rPr>
        <w:t>є</w:t>
      </w:r>
      <w:r w:rsidRPr="002C09BD">
        <w:rPr>
          <w:rFonts w:ascii="Times New Roman" w:eastAsia="Times New Roman" w:hAnsi="Times New Roman" w:cs="Times New Roman"/>
          <w:color w:val="293A55"/>
          <w:sz w:val="28"/>
          <w:szCs w:val="28"/>
          <w:highlight w:val="white"/>
        </w:rPr>
        <w:t>кту вбачається, що держава припускає можливі злочинні дії осіб виключно на підставі наявності в таких множинного громадянства, чим також допускається нерівність та дискримінація за ознакою громадянства (невідповідність стат</w:t>
      </w:r>
      <w:r w:rsidR="002C09BD">
        <w:rPr>
          <w:rFonts w:ascii="Times New Roman" w:eastAsia="Times New Roman" w:hAnsi="Times New Roman" w:cs="Times New Roman"/>
          <w:color w:val="293A55"/>
          <w:sz w:val="28"/>
          <w:szCs w:val="28"/>
          <w:highlight w:val="white"/>
        </w:rPr>
        <w:t>т</w:t>
      </w:r>
      <w:r w:rsidRPr="002C09BD">
        <w:rPr>
          <w:rFonts w:ascii="Times New Roman" w:eastAsia="Times New Roman" w:hAnsi="Times New Roman" w:cs="Times New Roman"/>
          <w:color w:val="293A55"/>
          <w:sz w:val="28"/>
          <w:szCs w:val="28"/>
          <w:highlight w:val="white"/>
        </w:rPr>
        <w:t>ям, 24, 62 КУ).</w:t>
      </w:r>
    </w:p>
    <w:p w14:paraId="00000011" w14:textId="54BAC4D9" w:rsidR="00C8459B" w:rsidRPr="002C09BD" w:rsidRDefault="00B97C62" w:rsidP="00A87729">
      <w:pPr>
        <w:pBdr>
          <w:top w:val="nil"/>
          <w:left w:val="nil"/>
          <w:bottom w:val="nil"/>
          <w:right w:val="nil"/>
          <w:between w:val="nil"/>
        </w:pBdr>
        <w:spacing w:after="0"/>
        <w:ind w:firstLine="720"/>
        <w:jc w:val="both"/>
        <w:rPr>
          <w:rFonts w:ascii="Times New Roman" w:eastAsia="Times New Roman" w:hAnsi="Times New Roman" w:cs="Times New Roman"/>
          <w:color w:val="000000"/>
          <w:sz w:val="28"/>
          <w:szCs w:val="28"/>
        </w:rPr>
      </w:pPr>
      <w:r w:rsidRPr="002C09BD">
        <w:rPr>
          <w:rFonts w:ascii="Times New Roman" w:eastAsia="Times New Roman" w:hAnsi="Times New Roman" w:cs="Times New Roman"/>
          <w:color w:val="040C28"/>
          <w:sz w:val="28"/>
          <w:szCs w:val="28"/>
        </w:rPr>
        <w:t>В</w:t>
      </w:r>
      <w:r w:rsidRPr="002C09BD">
        <w:rPr>
          <w:rFonts w:ascii="Times New Roman" w:eastAsia="Times New Roman" w:hAnsi="Times New Roman" w:cs="Times New Roman"/>
          <w:color w:val="000000"/>
          <w:sz w:val="28"/>
          <w:szCs w:val="28"/>
        </w:rPr>
        <w:t xml:space="preserve">ідповідно до статті 4 Конституції України в Україні існує єдине громадянство. Підстави набуття і припинення громадянства України визначаються законом. Статтею 2 Закону України «Про громадянство України» передбачено, якщо громадянин України набув громадянство (підданство) іншої держави, то у правових відносинах з Україною він визнається лише громадянином України. Якщо іноземець набув громадянство України, то у правових відносинах з Україною він визнається лише громадянином України. </w:t>
      </w:r>
    </w:p>
    <w:p w14:paraId="00000012" w14:textId="77777777" w:rsidR="00C8459B" w:rsidRPr="002C09BD" w:rsidRDefault="00000000" w:rsidP="002C09BD">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Не вважаються добровільним набуттям іншого громадянства такі випадки:</w:t>
      </w:r>
    </w:p>
    <w:p w14:paraId="00000013"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одночасне набуття дитиною за народженням громадянства України та громадянства іншої держави чи держав;</w:t>
      </w:r>
    </w:p>
    <w:p w14:paraId="00000014"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набуття дитиною, яка є громадянином України, громадянства своїх усиновителів унаслідок усиновлення її іноземцями;</w:t>
      </w:r>
    </w:p>
    <w:p w14:paraId="00000015"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автоматичне набуття громадянином України іншого громадянства внаслідок одруження з іноземцем;</w:t>
      </w:r>
    </w:p>
    <w:p w14:paraId="00000016"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автоматичне набуття громадянином України, який досяг повноліття, іншого громадянства внаслідок застосування законодавства про громадянство іноземної держави, якщо такий громадянин України не отримав документ, що підтверджує наявність у нього громадянства іншої держави.</w:t>
      </w:r>
    </w:p>
    <w:p w14:paraId="00000017" w14:textId="78D68BA8"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Зважаючи на те, що даним законопро</w:t>
      </w:r>
      <w:r w:rsidR="00B97C62" w:rsidRPr="002C09BD">
        <w:rPr>
          <w:rFonts w:ascii="Times New Roman" w:eastAsia="Times New Roman" w:hAnsi="Times New Roman" w:cs="Times New Roman"/>
          <w:sz w:val="28"/>
          <w:szCs w:val="28"/>
        </w:rPr>
        <w:t>є</w:t>
      </w:r>
      <w:r w:rsidRPr="002C09BD">
        <w:rPr>
          <w:rFonts w:ascii="Times New Roman" w:eastAsia="Times New Roman" w:hAnsi="Times New Roman" w:cs="Times New Roman"/>
          <w:sz w:val="28"/>
          <w:szCs w:val="28"/>
        </w:rPr>
        <w:t>ктом не встановлений вік кримінальної відповідальності, то така настає за загальним правилом</w:t>
      </w:r>
      <w:r w:rsidR="00305E17" w:rsidRPr="002C09BD">
        <w:rPr>
          <w:rFonts w:ascii="Times New Roman" w:eastAsia="Times New Roman" w:hAnsi="Times New Roman" w:cs="Times New Roman"/>
          <w:sz w:val="28"/>
          <w:szCs w:val="28"/>
        </w:rPr>
        <w:t xml:space="preserve"> – </w:t>
      </w:r>
      <w:r w:rsidRPr="002C09BD">
        <w:rPr>
          <w:rFonts w:ascii="Times New Roman" w:eastAsia="Times New Roman" w:hAnsi="Times New Roman" w:cs="Times New Roman"/>
          <w:sz w:val="28"/>
          <w:szCs w:val="28"/>
        </w:rPr>
        <w:t xml:space="preserve"> з 16 років (ч. 1 ст. 22 КК України).</w:t>
      </w:r>
    </w:p>
    <w:p w14:paraId="00000018" w14:textId="227444C8" w:rsidR="00C8459B" w:rsidRPr="002C09BD" w:rsidRDefault="00000000" w:rsidP="00A87729">
      <w:pPr>
        <w:spacing w:after="0"/>
        <w:ind w:firstLine="720"/>
        <w:jc w:val="both"/>
        <w:rPr>
          <w:rFonts w:ascii="Times New Roman" w:eastAsia="Times New Roman" w:hAnsi="Times New Roman" w:cs="Times New Roman"/>
          <w:color w:val="333333"/>
          <w:sz w:val="28"/>
          <w:szCs w:val="28"/>
          <w:highlight w:val="white"/>
        </w:rPr>
      </w:pPr>
      <w:r w:rsidRPr="002C09BD">
        <w:rPr>
          <w:rFonts w:ascii="Times New Roman" w:eastAsia="Times New Roman" w:hAnsi="Times New Roman" w:cs="Times New Roman"/>
          <w:sz w:val="28"/>
          <w:szCs w:val="28"/>
        </w:rPr>
        <w:t xml:space="preserve">Між тим  дитиною є </w:t>
      </w:r>
      <w:r w:rsidRPr="002C09BD">
        <w:rPr>
          <w:rFonts w:ascii="Times New Roman" w:eastAsia="Times New Roman" w:hAnsi="Times New Roman" w:cs="Times New Roman"/>
          <w:color w:val="333333"/>
          <w:sz w:val="28"/>
          <w:szCs w:val="28"/>
          <w:highlight w:val="white"/>
        </w:rPr>
        <w:t>особа віком до 18 років (повноліття), якщо згідно з законом, застосовуваним до неї, вона не набуває прав повнолітньої раніше (</w:t>
      </w:r>
      <w:r w:rsidRPr="002C09BD">
        <w:rPr>
          <w:rFonts w:ascii="Times New Roman" w:eastAsia="Times New Roman" w:hAnsi="Times New Roman" w:cs="Times New Roman"/>
          <w:sz w:val="28"/>
          <w:szCs w:val="28"/>
        </w:rPr>
        <w:t>ст. 1 Закону України «Про охорону дитинства</w:t>
      </w:r>
      <w:r w:rsidR="00342EA5" w:rsidRPr="002C09BD">
        <w:rPr>
          <w:rFonts w:ascii="Times New Roman" w:eastAsia="Times New Roman" w:hAnsi="Times New Roman" w:cs="Times New Roman"/>
          <w:sz w:val="28"/>
          <w:szCs w:val="28"/>
        </w:rPr>
        <w:t>»</w:t>
      </w:r>
      <w:r w:rsidRPr="002C09BD">
        <w:rPr>
          <w:rFonts w:ascii="Times New Roman" w:eastAsia="Times New Roman" w:hAnsi="Times New Roman" w:cs="Times New Roman"/>
          <w:sz w:val="28"/>
          <w:szCs w:val="28"/>
        </w:rPr>
        <w:t xml:space="preserve">). Стаття 6 СК України визначає, що </w:t>
      </w:r>
      <w:r w:rsidRPr="002C09BD">
        <w:rPr>
          <w:rFonts w:ascii="Times New Roman" w:eastAsia="Times New Roman" w:hAnsi="Times New Roman" w:cs="Times New Roman"/>
          <w:color w:val="333333"/>
          <w:sz w:val="28"/>
          <w:szCs w:val="28"/>
          <w:highlight w:val="white"/>
        </w:rPr>
        <w:t>правовий статус дитини має особа до досягнення нею повноліття</w:t>
      </w:r>
      <w:r w:rsidR="00B97C62" w:rsidRPr="002C09BD">
        <w:rPr>
          <w:rFonts w:ascii="Times New Roman" w:eastAsia="Times New Roman" w:hAnsi="Times New Roman" w:cs="Times New Roman"/>
          <w:color w:val="333333"/>
          <w:sz w:val="28"/>
          <w:szCs w:val="28"/>
          <w:highlight w:val="white"/>
        </w:rPr>
        <w:t xml:space="preserve"> </w:t>
      </w:r>
      <w:r w:rsidRPr="002C09BD">
        <w:rPr>
          <w:rFonts w:ascii="Times New Roman" w:eastAsia="Times New Roman" w:hAnsi="Times New Roman" w:cs="Times New Roman"/>
          <w:color w:val="333333"/>
          <w:sz w:val="28"/>
          <w:szCs w:val="28"/>
          <w:highlight w:val="white"/>
        </w:rPr>
        <w:t>(18 років).</w:t>
      </w:r>
    </w:p>
    <w:p w14:paraId="00000019"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color w:val="333333"/>
          <w:sz w:val="28"/>
          <w:szCs w:val="28"/>
          <w:highlight w:val="white"/>
        </w:rPr>
        <w:t xml:space="preserve">Відповідно до п. 79  «Порядку подання заяв та інших документів для встановлення, оформлення та перевірки належності до громадянства України, прийняття до громадянства України, оформлення набуття громадянства України, виходу з громадянства України», затвердженого Указом Президента </w:t>
      </w:r>
      <w:r w:rsidRPr="002C09BD">
        <w:rPr>
          <w:rFonts w:ascii="Times New Roman" w:eastAsia="Times New Roman" w:hAnsi="Times New Roman" w:cs="Times New Roman"/>
          <w:color w:val="333333"/>
          <w:sz w:val="28"/>
          <w:szCs w:val="28"/>
          <w:highlight w:val="white"/>
        </w:rPr>
        <w:lastRenderedPageBreak/>
        <w:t xml:space="preserve">№ 215 від 27.03.2001 з подальшими змінами та доповненнями, дитина (особа у віці до 18 років) може вийти з громадянства України виключно за заявою одного із батьків та тільки у випадку </w:t>
      </w:r>
      <w:r w:rsidRPr="002C09BD">
        <w:rPr>
          <w:rFonts w:ascii="Times New Roman" w:eastAsia="Times New Roman" w:hAnsi="Times New Roman" w:cs="Times New Roman"/>
          <w:color w:val="202122"/>
          <w:sz w:val="28"/>
          <w:szCs w:val="28"/>
          <w:highlight w:val="white"/>
        </w:rPr>
        <w:t> виїзду на постійне проживання за кордон.</w:t>
      </w:r>
    </w:p>
    <w:p w14:paraId="0000001A" w14:textId="4F7E9975" w:rsidR="00C8459B"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Також даним законопро</w:t>
      </w:r>
      <w:r w:rsidR="005B0A50" w:rsidRPr="002C09BD">
        <w:rPr>
          <w:rFonts w:ascii="Times New Roman" w:eastAsia="Times New Roman" w:hAnsi="Times New Roman" w:cs="Times New Roman"/>
          <w:sz w:val="28"/>
          <w:szCs w:val="28"/>
        </w:rPr>
        <w:t>є</w:t>
      </w:r>
      <w:r w:rsidRPr="002C09BD">
        <w:rPr>
          <w:rFonts w:ascii="Times New Roman" w:eastAsia="Times New Roman" w:hAnsi="Times New Roman" w:cs="Times New Roman"/>
          <w:sz w:val="28"/>
          <w:szCs w:val="28"/>
        </w:rPr>
        <w:t>ктом повністю проігноровані положення ч. 6 ст. 5 Закону України «Про забезпечення прав і свобод громадян та правовий режим на тимчасово окупованій території України», відповідно до яких примусове автоматичне набуття громадянами України, які проживають на тимчасово окупованій території, громадянства Російської Федерації не визнається Україною та не є підставою для втрати громадянства України.</w:t>
      </w:r>
    </w:p>
    <w:p w14:paraId="71F3435A" w14:textId="77777777" w:rsidR="002C09BD" w:rsidRPr="002C09BD" w:rsidRDefault="002C09BD" w:rsidP="00A87729">
      <w:pPr>
        <w:spacing w:after="0"/>
        <w:ind w:firstLine="720"/>
        <w:jc w:val="both"/>
        <w:rPr>
          <w:rFonts w:ascii="Times New Roman" w:eastAsia="Times New Roman" w:hAnsi="Times New Roman" w:cs="Times New Roman"/>
          <w:sz w:val="28"/>
          <w:szCs w:val="28"/>
        </w:rPr>
      </w:pPr>
    </w:p>
    <w:p w14:paraId="0000001B" w14:textId="72A1BFCD" w:rsidR="00C8459B" w:rsidRPr="002C09BD" w:rsidRDefault="00000000" w:rsidP="00A87729">
      <w:pPr>
        <w:spacing w:after="0"/>
        <w:ind w:firstLine="720"/>
        <w:jc w:val="both"/>
        <w:rPr>
          <w:rFonts w:ascii="Times New Roman" w:eastAsia="Times New Roman" w:hAnsi="Times New Roman" w:cs="Times New Roman"/>
          <w:b/>
          <w:sz w:val="28"/>
          <w:szCs w:val="28"/>
        </w:rPr>
      </w:pPr>
      <w:r w:rsidRPr="002C09BD">
        <w:rPr>
          <w:rFonts w:ascii="Times New Roman" w:eastAsia="Times New Roman" w:hAnsi="Times New Roman" w:cs="Times New Roman"/>
          <w:b/>
          <w:sz w:val="28"/>
          <w:szCs w:val="28"/>
        </w:rPr>
        <w:t>Відповідність МГП</w:t>
      </w:r>
    </w:p>
    <w:p w14:paraId="0000001C" w14:textId="7C1B03C8" w:rsidR="00C8459B"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Загалом норми МГП не регулюють питання притягнення до відповідальності осіб за наявність множинного громадянства, в тому числі громадянства держави, яка є учасником збройного конфлікту, а тому даний законопроєкт не співвідноситься з нормами МГП.</w:t>
      </w:r>
    </w:p>
    <w:p w14:paraId="6EEC58E4" w14:textId="77777777" w:rsidR="002C09BD" w:rsidRPr="002C09BD" w:rsidRDefault="002C09BD" w:rsidP="00A87729">
      <w:pPr>
        <w:spacing w:after="0"/>
        <w:ind w:firstLine="720"/>
        <w:jc w:val="both"/>
        <w:rPr>
          <w:rFonts w:ascii="Times New Roman" w:eastAsia="Times New Roman" w:hAnsi="Times New Roman" w:cs="Times New Roman"/>
          <w:sz w:val="28"/>
          <w:szCs w:val="28"/>
        </w:rPr>
      </w:pPr>
    </w:p>
    <w:p w14:paraId="0000001D" w14:textId="00E3EB8E" w:rsidR="00C8459B" w:rsidRPr="002C09BD" w:rsidRDefault="00000000" w:rsidP="00A87729">
      <w:pPr>
        <w:spacing w:after="0"/>
        <w:ind w:firstLine="720"/>
        <w:jc w:val="both"/>
        <w:rPr>
          <w:rFonts w:ascii="Times New Roman" w:eastAsia="Times New Roman" w:hAnsi="Times New Roman" w:cs="Times New Roman"/>
          <w:b/>
          <w:color w:val="000000"/>
          <w:sz w:val="28"/>
          <w:szCs w:val="28"/>
        </w:rPr>
      </w:pPr>
      <w:r w:rsidRPr="002C09BD">
        <w:rPr>
          <w:rFonts w:ascii="Times New Roman" w:eastAsia="Times New Roman" w:hAnsi="Times New Roman" w:cs="Times New Roman"/>
          <w:b/>
          <w:color w:val="000000"/>
          <w:sz w:val="28"/>
          <w:szCs w:val="28"/>
        </w:rPr>
        <w:t>Відповідність МППЛ</w:t>
      </w:r>
    </w:p>
    <w:p w14:paraId="0000001E" w14:textId="033DF7C9" w:rsidR="00C8459B"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color w:val="000000"/>
          <w:sz w:val="28"/>
          <w:szCs w:val="28"/>
        </w:rPr>
        <w:t>Загалом законопро</w:t>
      </w:r>
      <w:r w:rsidR="005B0A50" w:rsidRPr="002C09BD">
        <w:rPr>
          <w:rFonts w:ascii="Times New Roman" w:eastAsia="Times New Roman" w:hAnsi="Times New Roman" w:cs="Times New Roman"/>
          <w:color w:val="000000"/>
          <w:sz w:val="28"/>
          <w:szCs w:val="28"/>
        </w:rPr>
        <w:t>є</w:t>
      </w:r>
      <w:r w:rsidRPr="002C09BD">
        <w:rPr>
          <w:rFonts w:ascii="Times New Roman" w:eastAsia="Times New Roman" w:hAnsi="Times New Roman" w:cs="Times New Roman"/>
          <w:color w:val="000000"/>
          <w:sz w:val="28"/>
          <w:szCs w:val="28"/>
        </w:rPr>
        <w:t>кт не відповідає МППЛ, так як</w:t>
      </w:r>
      <w:r w:rsidRPr="002C09BD">
        <w:rPr>
          <w:rFonts w:ascii="Times New Roman" w:eastAsia="Times New Roman" w:hAnsi="Times New Roman" w:cs="Times New Roman"/>
          <w:b/>
          <w:color w:val="000000"/>
          <w:sz w:val="28"/>
          <w:szCs w:val="28"/>
        </w:rPr>
        <w:t xml:space="preserve"> </w:t>
      </w:r>
      <w:r w:rsidRPr="002C09BD">
        <w:rPr>
          <w:rFonts w:ascii="Times New Roman" w:eastAsia="Times New Roman" w:hAnsi="Times New Roman" w:cs="Times New Roman"/>
          <w:sz w:val="28"/>
          <w:szCs w:val="28"/>
        </w:rPr>
        <w:t>обмеження права людини вирішувати питання щодо свого громадянства є порушенням принципу добровільності вибору громадянства</w:t>
      </w:r>
      <w:r w:rsidR="00B97C62" w:rsidRPr="002C09BD">
        <w:rPr>
          <w:rFonts w:ascii="Times New Roman" w:eastAsia="Times New Roman" w:hAnsi="Times New Roman" w:cs="Times New Roman"/>
          <w:sz w:val="28"/>
          <w:szCs w:val="28"/>
        </w:rPr>
        <w:t>,</w:t>
      </w:r>
      <w:r w:rsidRPr="002C09BD">
        <w:rPr>
          <w:rFonts w:ascii="Times New Roman" w:eastAsia="Times New Roman" w:hAnsi="Times New Roman" w:cs="Times New Roman"/>
          <w:sz w:val="28"/>
          <w:szCs w:val="28"/>
        </w:rPr>
        <w:t xml:space="preserve"> зокрема</w:t>
      </w:r>
      <w:r w:rsidR="00B97C62" w:rsidRPr="002C09BD">
        <w:rPr>
          <w:rFonts w:ascii="Times New Roman" w:eastAsia="Times New Roman" w:hAnsi="Times New Roman" w:cs="Times New Roman"/>
          <w:sz w:val="28"/>
          <w:szCs w:val="28"/>
        </w:rPr>
        <w:t xml:space="preserve"> </w:t>
      </w:r>
      <w:r w:rsidRPr="002C09BD">
        <w:rPr>
          <w:rFonts w:ascii="Times New Roman" w:eastAsia="Times New Roman" w:hAnsi="Times New Roman" w:cs="Times New Roman"/>
          <w:sz w:val="28"/>
          <w:szCs w:val="28"/>
        </w:rPr>
        <w:t>ст. 7 Європейської конвенції про громадянство 1997 року</w:t>
      </w:r>
      <w:r w:rsidR="00B97C62" w:rsidRPr="002C09BD">
        <w:rPr>
          <w:rFonts w:ascii="Times New Roman" w:eastAsia="Times New Roman" w:hAnsi="Times New Roman" w:cs="Times New Roman"/>
          <w:sz w:val="28"/>
          <w:szCs w:val="28"/>
        </w:rPr>
        <w:t>,</w:t>
      </w:r>
      <w:r w:rsidRPr="002C09BD">
        <w:rPr>
          <w:rFonts w:ascii="Times New Roman" w:eastAsia="Times New Roman" w:hAnsi="Times New Roman" w:cs="Times New Roman"/>
          <w:sz w:val="28"/>
          <w:szCs w:val="28"/>
        </w:rPr>
        <w:t xml:space="preserve"> ратифікован</w:t>
      </w:r>
      <w:r w:rsidR="00B97C62" w:rsidRPr="002C09BD">
        <w:rPr>
          <w:rFonts w:ascii="Times New Roman" w:eastAsia="Times New Roman" w:hAnsi="Times New Roman" w:cs="Times New Roman"/>
          <w:sz w:val="28"/>
          <w:szCs w:val="28"/>
        </w:rPr>
        <w:t>ої</w:t>
      </w:r>
      <w:r w:rsidRPr="002C09BD">
        <w:rPr>
          <w:rFonts w:ascii="Times New Roman" w:eastAsia="Times New Roman" w:hAnsi="Times New Roman" w:cs="Times New Roman"/>
          <w:sz w:val="28"/>
          <w:szCs w:val="28"/>
        </w:rPr>
        <w:t xml:space="preserve"> Україною. Поряд з цим питання громадянства як самоідентифікації особи лежать в площині ст. 8 ЄКПЛ, відтак даний законопроєкт суперечить ЄКПЛ в тому числі.</w:t>
      </w:r>
    </w:p>
    <w:p w14:paraId="7A4B3990" w14:textId="77777777" w:rsidR="002C09BD" w:rsidRPr="002C09BD" w:rsidRDefault="002C09BD" w:rsidP="00A87729">
      <w:pPr>
        <w:spacing w:after="0"/>
        <w:ind w:firstLine="720"/>
        <w:jc w:val="both"/>
        <w:rPr>
          <w:rFonts w:ascii="Times New Roman" w:eastAsia="Times New Roman" w:hAnsi="Times New Roman" w:cs="Times New Roman"/>
          <w:sz w:val="28"/>
          <w:szCs w:val="28"/>
        </w:rPr>
      </w:pPr>
    </w:p>
    <w:p w14:paraId="0000001F" w14:textId="32EC39DB" w:rsidR="00C8459B" w:rsidRPr="002C09BD" w:rsidRDefault="00000000" w:rsidP="00A87729">
      <w:pPr>
        <w:spacing w:after="0"/>
        <w:ind w:firstLine="720"/>
        <w:jc w:val="both"/>
        <w:rPr>
          <w:rFonts w:ascii="Times New Roman" w:eastAsia="Times New Roman" w:hAnsi="Times New Roman" w:cs="Times New Roman"/>
          <w:b/>
          <w:sz w:val="28"/>
          <w:szCs w:val="28"/>
        </w:rPr>
      </w:pPr>
      <w:r w:rsidRPr="002C09BD">
        <w:rPr>
          <w:rFonts w:ascii="Times New Roman" w:eastAsia="Times New Roman" w:hAnsi="Times New Roman" w:cs="Times New Roman"/>
          <w:b/>
          <w:sz w:val="28"/>
          <w:szCs w:val="28"/>
        </w:rPr>
        <w:t>Щодо запропонованого покарання</w:t>
      </w:r>
    </w:p>
    <w:p w14:paraId="00000020" w14:textId="41C2E1F2" w:rsidR="00C8459B" w:rsidRPr="002C09BD" w:rsidRDefault="00305E17"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Законопроєктом пропонується встановити покарання за перебування в громадянстві  іншої держави, яка здійснює збройну агресію проти України, у виді позбавленням права обіймати певні посади або займатися певною діяльністю на строк від десяти до п’ятнадцяти років з конфіскацією майна або без такої.</w:t>
      </w:r>
    </w:p>
    <w:p w14:paraId="00000021" w14:textId="77777777" w:rsidR="00C8459B" w:rsidRPr="002C09BD" w:rsidRDefault="00000000"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 xml:space="preserve">Не зрозуміло як співвідноситься таке покарання із запропонованою проєктом об’єктивною стороною  діяння.  </w:t>
      </w:r>
    </w:p>
    <w:p w14:paraId="00000022" w14:textId="14C46CAC" w:rsidR="00C8459B" w:rsidRPr="002C09BD" w:rsidRDefault="00305E17" w:rsidP="00A87729">
      <w:pPr>
        <w:spacing w:after="0"/>
        <w:ind w:firstLine="720"/>
        <w:jc w:val="both"/>
        <w:rPr>
          <w:rFonts w:ascii="Times New Roman" w:eastAsia="Times New Roman" w:hAnsi="Times New Roman" w:cs="Times New Roman"/>
          <w:sz w:val="28"/>
          <w:szCs w:val="28"/>
        </w:rPr>
      </w:pPr>
      <w:r w:rsidRPr="002C09BD">
        <w:rPr>
          <w:rFonts w:ascii="Times New Roman" w:eastAsia="Times New Roman" w:hAnsi="Times New Roman" w:cs="Times New Roman"/>
          <w:sz w:val="28"/>
          <w:szCs w:val="28"/>
        </w:rPr>
        <w:t xml:space="preserve">В національному законодавстві існує низка заборон на перебування іноземців чи то осіб без громадянства на певних посадах. Так, наприклад </w:t>
      </w:r>
      <w:r w:rsidRPr="002C09BD">
        <w:rPr>
          <w:rFonts w:ascii="Times New Roman" w:eastAsia="Times New Roman" w:hAnsi="Times New Roman" w:cs="Times New Roman"/>
          <w:color w:val="000000"/>
          <w:sz w:val="28"/>
          <w:szCs w:val="28"/>
          <w:highlight w:val="white"/>
        </w:rPr>
        <w:t>іноземці та особи без громадянства не можуть призначатися на посади або займатися трудовою діяльністю у разі, коли відповідно до законодавства призначення на відповідну посаду або провадження відповідного виду діяльності пов’язане з належністю до громадянства України (ст. 42 Закону України «</w:t>
      </w:r>
      <w:hyperlink r:id="rId12">
        <w:r w:rsidRPr="002C09BD">
          <w:rPr>
            <w:rFonts w:ascii="Times New Roman" w:eastAsia="Times New Roman" w:hAnsi="Times New Roman" w:cs="Times New Roman"/>
            <w:color w:val="2D5CA6"/>
            <w:sz w:val="28"/>
            <w:szCs w:val="28"/>
            <w:highlight w:val="white"/>
            <w:u w:val="single"/>
          </w:rPr>
          <w:t>Про зайнятість населення»</w:t>
        </w:r>
      </w:hyperlink>
      <w:r w:rsidRPr="002C09BD">
        <w:rPr>
          <w:rFonts w:ascii="Times New Roman" w:eastAsia="Times New Roman" w:hAnsi="Times New Roman" w:cs="Times New Roman"/>
          <w:sz w:val="28"/>
          <w:szCs w:val="28"/>
        </w:rPr>
        <w:t>.</w:t>
      </w:r>
    </w:p>
    <w:p w14:paraId="00000024" w14:textId="1E8E3C02" w:rsidR="00C8459B" w:rsidRPr="002C09BD" w:rsidRDefault="00305E17" w:rsidP="00A87729">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8"/>
          <w:szCs w:val="28"/>
        </w:rPr>
      </w:pPr>
      <w:r w:rsidRPr="002C09BD">
        <w:rPr>
          <w:rFonts w:ascii="Times New Roman" w:eastAsia="Times New Roman" w:hAnsi="Times New Roman" w:cs="Times New Roman"/>
          <w:color w:val="000000"/>
          <w:sz w:val="28"/>
          <w:szCs w:val="28"/>
        </w:rPr>
        <w:t>Наприклад, на державну службу не може вступити особа, яка має громадянство іншої держави (ст. 19 </w:t>
      </w:r>
      <w:hyperlink r:id="rId13">
        <w:r w:rsidRPr="002C09BD">
          <w:rPr>
            <w:rFonts w:ascii="Times New Roman" w:eastAsia="Times New Roman" w:hAnsi="Times New Roman" w:cs="Times New Roman"/>
            <w:color w:val="2D5CA6"/>
            <w:sz w:val="28"/>
            <w:szCs w:val="28"/>
            <w:u w:val="single"/>
          </w:rPr>
          <w:t>Закону України «Про державну службу»</w:t>
        </w:r>
      </w:hyperlink>
      <w:r w:rsidRPr="002C09BD">
        <w:rPr>
          <w:rFonts w:ascii="Times New Roman" w:eastAsia="Times New Roman" w:hAnsi="Times New Roman" w:cs="Times New Roman"/>
          <w:color w:val="000000"/>
          <w:sz w:val="28"/>
          <w:szCs w:val="28"/>
        </w:rPr>
        <w:t xml:space="preserve">). </w:t>
      </w:r>
      <w:r w:rsidRPr="002C09BD">
        <w:rPr>
          <w:rFonts w:ascii="Times New Roman" w:eastAsia="Times New Roman" w:hAnsi="Times New Roman" w:cs="Times New Roman"/>
          <w:color w:val="000000"/>
          <w:sz w:val="28"/>
          <w:szCs w:val="28"/>
        </w:rPr>
        <w:lastRenderedPageBreak/>
        <w:t>Згідно з пунктами 1, 2 частини 1 статті 84 Закону України «Про державну службу», підставами для припинення державної служби у зв’язку із втратою права на державну службу є припинення громадянства України або виїзд на постійне проживання за межі України, встановлення факту наявності у державного службовця громадянства іноземної держави під час проходження державної служби.</w:t>
      </w:r>
    </w:p>
    <w:p w14:paraId="00000025" w14:textId="7AC5541D" w:rsidR="00C8459B" w:rsidRDefault="00000000" w:rsidP="00A87729">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8"/>
          <w:szCs w:val="28"/>
        </w:rPr>
      </w:pPr>
      <w:r w:rsidRPr="002C09BD">
        <w:rPr>
          <w:rFonts w:ascii="Times New Roman" w:eastAsia="Times New Roman" w:hAnsi="Times New Roman" w:cs="Times New Roman"/>
          <w:b/>
          <w:color w:val="000000"/>
          <w:sz w:val="28"/>
          <w:szCs w:val="28"/>
        </w:rPr>
        <w:t xml:space="preserve">Висновок:  </w:t>
      </w:r>
      <w:r w:rsidRPr="002C09BD">
        <w:rPr>
          <w:rFonts w:ascii="Times New Roman" w:eastAsia="Times New Roman" w:hAnsi="Times New Roman" w:cs="Times New Roman"/>
          <w:color w:val="000000"/>
          <w:sz w:val="28"/>
          <w:szCs w:val="28"/>
        </w:rPr>
        <w:t>даний законопроєкт містить популістський заклик до встановлення кримінальної відповідальності осіб, які перебувають в громадянстві держави</w:t>
      </w:r>
      <w:r w:rsidR="00305E17" w:rsidRPr="002C09BD">
        <w:rPr>
          <w:rFonts w:ascii="Times New Roman" w:eastAsia="Times New Roman" w:hAnsi="Times New Roman" w:cs="Times New Roman"/>
          <w:color w:val="000000"/>
          <w:sz w:val="28"/>
          <w:szCs w:val="28"/>
        </w:rPr>
        <w:t>-</w:t>
      </w:r>
      <w:r w:rsidRPr="002C09BD">
        <w:rPr>
          <w:rFonts w:ascii="Times New Roman" w:eastAsia="Times New Roman" w:hAnsi="Times New Roman" w:cs="Times New Roman"/>
          <w:color w:val="000000"/>
          <w:sz w:val="28"/>
          <w:szCs w:val="28"/>
        </w:rPr>
        <w:t xml:space="preserve">агресора. </w:t>
      </w:r>
      <w:r w:rsidR="00305E17" w:rsidRPr="002C09BD">
        <w:rPr>
          <w:rFonts w:ascii="Times New Roman" w:eastAsia="Times New Roman" w:hAnsi="Times New Roman" w:cs="Times New Roman"/>
          <w:color w:val="000000"/>
          <w:sz w:val="28"/>
          <w:szCs w:val="28"/>
        </w:rPr>
        <w:t>З</w:t>
      </w:r>
      <w:r w:rsidRPr="002C09BD">
        <w:rPr>
          <w:rFonts w:ascii="Times New Roman" w:eastAsia="Times New Roman" w:hAnsi="Times New Roman" w:cs="Times New Roman"/>
          <w:color w:val="000000"/>
          <w:sz w:val="28"/>
          <w:szCs w:val="28"/>
        </w:rPr>
        <w:t>аконопроєкт загалом є дискримінаційним, не відповідає Конституції України, національному законодавству та міжнародному праву. Його прийняття є недоцільним та абсолютно неприйнятним.</w:t>
      </w:r>
    </w:p>
    <w:p w14:paraId="065F44C5" w14:textId="77777777" w:rsidR="00987595" w:rsidRDefault="00987595" w:rsidP="00A87729">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000000"/>
          <w:sz w:val="28"/>
          <w:szCs w:val="28"/>
        </w:rPr>
      </w:pPr>
    </w:p>
    <w:p w14:paraId="4DA54A25" w14:textId="7F36F797" w:rsidR="00987595" w:rsidRPr="00987595" w:rsidRDefault="00987595" w:rsidP="00A87729">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b/>
          <w:bCs/>
          <w:color w:val="000000"/>
          <w:sz w:val="28"/>
          <w:szCs w:val="28"/>
        </w:rPr>
      </w:pPr>
      <w:r w:rsidRPr="00987595">
        <w:rPr>
          <w:rFonts w:ascii="Times New Roman" w:eastAsia="Times New Roman" w:hAnsi="Times New Roman" w:cs="Times New Roman"/>
          <w:b/>
          <w:bCs/>
          <w:color w:val="000000"/>
          <w:sz w:val="28"/>
          <w:szCs w:val="28"/>
        </w:rPr>
        <w:t>Оксана Царевич, суддя Печерського районного суду м. Києва</w:t>
      </w:r>
    </w:p>
    <w:sectPr w:rsidR="00987595" w:rsidRPr="0098759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9B"/>
    <w:rsid w:val="002C09BD"/>
    <w:rsid w:val="00305E17"/>
    <w:rsid w:val="00342EA5"/>
    <w:rsid w:val="00377AA2"/>
    <w:rsid w:val="005B0A50"/>
    <w:rsid w:val="0097054F"/>
    <w:rsid w:val="00987595"/>
    <w:rsid w:val="00A66A41"/>
    <w:rsid w:val="00A87729"/>
    <w:rsid w:val="00B047A9"/>
    <w:rsid w:val="00B97C62"/>
    <w:rsid w:val="00C460CB"/>
    <w:rsid w:val="00C8459B"/>
    <w:rsid w:val="00CC5C4B"/>
    <w:rsid w:val="00DB6F1D"/>
    <w:rsid w:val="00E53BED"/>
    <w:rsid w:val="00F624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99B1"/>
  <w15:docId w15:val="{1F172D16-3D9B-41B8-9FC4-8B9B43A5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3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3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638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38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38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38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38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38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38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63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5638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38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38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38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38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38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3828"/>
    <w:rPr>
      <w:rFonts w:eastAsiaTheme="majorEastAsia" w:cstheme="majorBidi"/>
      <w:color w:val="595959" w:themeColor="text1" w:themeTint="A6"/>
    </w:rPr>
  </w:style>
  <w:style w:type="character" w:customStyle="1" w:styleId="80">
    <w:name w:val="Заголовок 8 Знак"/>
    <w:basedOn w:val="a0"/>
    <w:link w:val="8"/>
    <w:uiPriority w:val="9"/>
    <w:semiHidden/>
    <w:rsid w:val="005638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3828"/>
    <w:rPr>
      <w:rFonts w:eastAsiaTheme="majorEastAsia" w:cstheme="majorBidi"/>
      <w:color w:val="272727" w:themeColor="text1" w:themeTint="D8"/>
    </w:rPr>
  </w:style>
  <w:style w:type="character" w:customStyle="1" w:styleId="a4">
    <w:name w:val="Назва Знак"/>
    <w:basedOn w:val="a0"/>
    <w:link w:val="a3"/>
    <w:uiPriority w:val="10"/>
    <w:rsid w:val="00563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56382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3828"/>
    <w:pPr>
      <w:spacing w:before="160"/>
      <w:jc w:val="center"/>
    </w:pPr>
    <w:rPr>
      <w:i/>
      <w:iCs/>
      <w:color w:val="404040" w:themeColor="text1" w:themeTint="BF"/>
    </w:rPr>
  </w:style>
  <w:style w:type="character" w:customStyle="1" w:styleId="a8">
    <w:name w:val="Цитата Знак"/>
    <w:basedOn w:val="a0"/>
    <w:link w:val="a7"/>
    <w:uiPriority w:val="29"/>
    <w:rsid w:val="00563828"/>
    <w:rPr>
      <w:i/>
      <w:iCs/>
      <w:color w:val="404040" w:themeColor="text1" w:themeTint="BF"/>
    </w:rPr>
  </w:style>
  <w:style w:type="paragraph" w:styleId="a9">
    <w:name w:val="List Paragraph"/>
    <w:basedOn w:val="a"/>
    <w:uiPriority w:val="34"/>
    <w:qFormat/>
    <w:rsid w:val="00563828"/>
    <w:pPr>
      <w:ind w:left="720"/>
      <w:contextualSpacing/>
    </w:pPr>
  </w:style>
  <w:style w:type="character" w:styleId="aa">
    <w:name w:val="Intense Emphasis"/>
    <w:basedOn w:val="a0"/>
    <w:uiPriority w:val="21"/>
    <w:qFormat/>
    <w:rsid w:val="00563828"/>
    <w:rPr>
      <w:i/>
      <w:iCs/>
      <w:color w:val="0F4761" w:themeColor="accent1" w:themeShade="BF"/>
    </w:rPr>
  </w:style>
  <w:style w:type="paragraph" w:styleId="ab">
    <w:name w:val="Intense Quote"/>
    <w:basedOn w:val="a"/>
    <w:next w:val="a"/>
    <w:link w:val="ac"/>
    <w:uiPriority w:val="30"/>
    <w:qFormat/>
    <w:rsid w:val="00563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63828"/>
    <w:rPr>
      <w:i/>
      <w:iCs/>
      <w:color w:val="0F4761" w:themeColor="accent1" w:themeShade="BF"/>
    </w:rPr>
  </w:style>
  <w:style w:type="character" w:styleId="ad">
    <w:name w:val="Intense Reference"/>
    <w:basedOn w:val="a0"/>
    <w:uiPriority w:val="32"/>
    <w:qFormat/>
    <w:rsid w:val="00563828"/>
    <w:rPr>
      <w:b/>
      <w:bCs/>
      <w:smallCaps/>
      <w:color w:val="0F4761" w:themeColor="accent1" w:themeShade="BF"/>
      <w:spacing w:val="5"/>
    </w:rPr>
  </w:style>
  <w:style w:type="paragraph" w:styleId="ae">
    <w:name w:val="Normal (Web)"/>
    <w:basedOn w:val="a"/>
    <w:uiPriority w:val="99"/>
    <w:unhideWhenUsed/>
    <w:rsid w:val="0022035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4B50B7"/>
    <w:rPr>
      <w:color w:val="0000FF"/>
      <w:u w:val="single"/>
    </w:rPr>
  </w:style>
  <w:style w:type="character" w:customStyle="1" w:styleId="hard-blue-color">
    <w:name w:val="hard-blue-color"/>
    <w:basedOn w:val="a0"/>
    <w:rsid w:val="00D86FA0"/>
  </w:style>
  <w:style w:type="character" w:styleId="af0">
    <w:name w:val="Unresolved Mention"/>
    <w:basedOn w:val="a0"/>
    <w:uiPriority w:val="99"/>
    <w:semiHidden/>
    <w:unhideWhenUsed/>
    <w:rsid w:val="00A87729"/>
    <w:rPr>
      <w:color w:val="605E5C"/>
      <w:shd w:val="clear" w:color="auto" w:fill="E1DFDD"/>
    </w:rPr>
  </w:style>
  <w:style w:type="character" w:styleId="af1">
    <w:name w:val="FollowedHyperlink"/>
    <w:basedOn w:val="a0"/>
    <w:uiPriority w:val="99"/>
    <w:semiHidden/>
    <w:unhideWhenUsed/>
    <w:rsid w:val="002C09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93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z960254k?ed=2010_09_30&amp;an=66" TargetMode="External"/><Relationship Id="rId13" Type="http://schemas.openxmlformats.org/officeDocument/2006/relationships/hyperlink" Target="https://zakon.rada.gov.ua/laws/show/889-19" TargetMode="External"/><Relationship Id="rId3" Type="http://schemas.openxmlformats.org/officeDocument/2006/relationships/styles" Target="styles.xml"/><Relationship Id="rId7" Type="http://schemas.openxmlformats.org/officeDocument/2006/relationships/hyperlink" Target="https://ips.ligazakon.net/document/view/z960254k?ed=2010_09_30" TargetMode="External"/><Relationship Id="rId12" Type="http://schemas.openxmlformats.org/officeDocument/2006/relationships/hyperlink" Target="https://zakon.help/law/5067-VI/edition31.08.20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itd.rada.gov.ua/billInfo/Bills/Card/39302" TargetMode="External"/><Relationship Id="rId11" Type="http://schemas.openxmlformats.org/officeDocument/2006/relationships/hyperlink" Target="https://ips.ligazakon.net/document/view/z960254k?ed=2010_09_30&amp;an=1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s.ligazakon.net/document/view/z960254k?ed=2010_09_30&amp;an=192" TargetMode="External"/><Relationship Id="rId4" Type="http://schemas.openxmlformats.org/officeDocument/2006/relationships/settings" Target="settings.xml"/><Relationship Id="rId9" Type="http://schemas.openxmlformats.org/officeDocument/2006/relationships/hyperlink" Target="https://ips.ligazakon.net/document/view/z960254k?ed=2010_09_30&amp;an=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Dwra8YND/gBFaGCrw3L0OIoGQ==">CgMxLjA4AHIhMWFQMm1RZkt4bHlMbGpuOHpJRkRWQ2lXYmhGbmtfU3Fs</go:docsCustomData>
</go:gDocsCustomXmlDataStorage>
</file>

<file path=customXml/itemProps1.xml><?xml version="1.0" encoding="utf-8"?>
<ds:datastoreItem xmlns:ds="http://schemas.openxmlformats.org/officeDocument/2006/customXml" ds:itemID="{6DC8A765-4346-4672-AF0E-8D87078303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5518</Words>
  <Characters>3146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horiok horiok</dc:creator>
  <cp:lastModifiedBy>Мирослав Лаврінок</cp:lastModifiedBy>
  <cp:revision>13</cp:revision>
  <dcterms:created xsi:type="dcterms:W3CDTF">2024-03-05T13:31:00Z</dcterms:created>
  <dcterms:modified xsi:type="dcterms:W3CDTF">2024-09-02T20:43:00Z</dcterms:modified>
</cp:coreProperties>
</file>