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1B" w:rsidRDefault="00E65674">
      <w:pPr>
        <w:pStyle w:val="a4"/>
        <w:keepNext w:val="0"/>
        <w:keepLines w:val="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hidden="0" allowOverlap="1" wp14:anchorId="685C38D9" wp14:editId="34FDCC1A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2258060" cy="767715"/>
            <wp:effectExtent l="0" t="0" r="8890" b="0"/>
            <wp:wrapThrough wrapText="bothSides">
              <wp:wrapPolygon edited="0">
                <wp:start x="0" y="0"/>
                <wp:lineTo x="0" y="20903"/>
                <wp:lineTo x="21503" y="20903"/>
                <wp:lineTo x="21503" y="0"/>
                <wp:lineTo x="0" y="0"/>
              </wp:wrapPolygon>
            </wp:wrapThrough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767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hidden="0" allowOverlap="1" wp14:anchorId="5DF89C64" wp14:editId="2594908E">
            <wp:simplePos x="0" y="0"/>
            <wp:positionH relativeFrom="column">
              <wp:posOffset>4318635</wp:posOffset>
            </wp:positionH>
            <wp:positionV relativeFrom="paragraph">
              <wp:posOffset>0</wp:posOffset>
            </wp:positionV>
            <wp:extent cx="1485900" cy="735965"/>
            <wp:effectExtent l="0" t="0" r="0" b="0"/>
            <wp:wrapSquare wrapText="bothSides" distT="0" distB="0" distL="114300" distR="114300"/>
            <wp:docPr id="1" name="image1.png" descr="Macintosh HD:Users:julia:Dropbox:ugspl logo:logo:ua:fullcolor:ugspl-logo-horizont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julia:Dropbox:ugspl logo:logo:ua:fullcolor:ugspl-logo-horizontal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35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041B" w:rsidRDefault="000C041B">
      <w:pPr>
        <w:pStyle w:val="a4"/>
        <w:keepNext w:val="0"/>
        <w:keepLines w:val="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674" w:rsidRDefault="00E65674">
      <w:pPr>
        <w:pStyle w:val="a4"/>
        <w:keepNext w:val="0"/>
        <w:keepLines w:val="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041B" w:rsidRDefault="006826D7">
      <w:pPr>
        <w:pStyle w:val="a4"/>
        <w:keepNext w:val="0"/>
        <w:keepLines w:val="0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ПОЛОЖЕННЯ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Зимової школи з міжнародного гуманітарного права для студентів-правників “Юридична професія під час та після війни”</w:t>
      </w:r>
    </w:p>
    <w:p w:rsidR="000C041B" w:rsidRDefault="000C041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41B" w:rsidRDefault="000C041B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41B" w:rsidRDefault="006826D7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1.Загальні положення</w:t>
      </w:r>
    </w:p>
    <w:p w:rsidR="000C041B" w:rsidRDefault="006826D7">
      <w:pPr>
        <w:pStyle w:val="a4"/>
        <w:keepNext w:val="0"/>
        <w:keepLines w:val="0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wlnjub3m1n4y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Зимова школа з міжнародного гуманітарного права для студентів-правників “Юридична професія під час та після війни”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– Школа)  проводиться Українською Гельсінською Спілкою з прав людини для  виявлення та стимулювання обдарованої молоді, зацікавленої у правозахисній діяльності; сприяння її профорієнтації, стимулювання до прояву активної життєвої позиції, формування в українському суспільстві поваги до загальнолюдських цінностей. </w:t>
      </w:r>
    </w:p>
    <w:p w:rsidR="000C041B" w:rsidRDefault="006826D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проведення Школи</w:t>
      </w:r>
    </w:p>
    <w:p w:rsidR="000C041B" w:rsidRDefault="006826D7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рівня обізнаності та зацікавленості міжнародним гуманітарним правом у студентів і студенток юридичних спеціальностей;</w:t>
      </w:r>
    </w:p>
    <w:p w:rsidR="000C041B" w:rsidRDefault="006826D7">
      <w:pPr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студентству юридичних спеціальностей широкого уявлення про виклики, які постали перед українськими правниками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правницями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зв’язку зі збройним конфліктом в Україні;</w:t>
      </w:r>
    </w:p>
    <w:p w:rsidR="000C041B" w:rsidRDefault="006826D7">
      <w:pPr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заохочення молоді  до отримання нових знань та участі в правозахисній діяльності.</w:t>
      </w:r>
    </w:p>
    <w:p w:rsidR="000C041B" w:rsidRDefault="000C041B"/>
    <w:p w:rsidR="000C041B" w:rsidRDefault="006826D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2.Терміни проведення Школи</w:t>
      </w:r>
    </w:p>
    <w:p w:rsidR="000C041B" w:rsidRDefault="00B114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Школа проводиться </w:t>
      </w:r>
      <w:proofErr w:type="spellStart"/>
      <w:r w:rsidR="006826D7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proofErr w:type="spellEnd"/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 xml:space="preserve"> в  січні – березні  2024 року.</w:t>
      </w:r>
    </w:p>
    <w:p w:rsidR="000C041B" w:rsidRDefault="00B114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Проведення циклу експертних онлайн-зустрічей для учасників/</w:t>
      </w:r>
      <w:r w:rsidR="00CE701F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6826D7"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 Школи - </w:t>
      </w:r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>до 10 лютого 2024 року.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Початок прийому робіт на конкурс есе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12 лютого 2024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завершення прийому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 лютого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року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визна</w:t>
      </w:r>
      <w:r w:rsidR="00B11428">
        <w:rPr>
          <w:rFonts w:ascii="Times New Roman" w:eastAsia="Times New Roman" w:hAnsi="Times New Roman" w:cs="Times New Roman"/>
          <w:sz w:val="28"/>
          <w:szCs w:val="28"/>
        </w:rPr>
        <w:t>чення та оголошення переможців/-</w:t>
      </w:r>
      <w:proofErr w:type="spellStart"/>
      <w:r w:rsidR="00B1142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12 березня 2024 року.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Нагородження переможців/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 –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березень 2024 року.</w:t>
      </w:r>
    </w:p>
    <w:p w:rsidR="000C041B" w:rsidRDefault="000C04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0C04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3.Порядок проведення Школи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Школа проводиться в 3 етапи: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 Перший етап - реєстрація для участі в Школі за посиланням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hyperlink r:id="rId7" w:history="1">
        <w:r w:rsidRPr="004B49E2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https://forms.gle/rvLPTMyd69bEQZqP8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23 січня 2024 року.</w:t>
      </w:r>
    </w:p>
    <w:p w:rsidR="000C041B" w:rsidRPr="00B11428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3.1.2 Другий етап - проведення серії експертних онлайн-зустрічей для учасників та учасниць Школи (Додаток 1)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3.1.3 Третій етап - підготовка та подання творчої роботи у формі есе на конкурс 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25 лютого 2024 року.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3.1.4 Четвертий етап - оцінка робіт відповідно до критеріїв оцінювання (Додаток 2), визначення  переможців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лауреатів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Конкурсу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12 березня  2024 року.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3.2.5 П’ятий етап - зустріч випускників Школи, урочисте нагородження переможців/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 есе 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березень 2024 року.</w:t>
      </w:r>
    </w:p>
    <w:p w:rsidR="000C041B" w:rsidRDefault="000C04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Учасники Школи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До участі в Школі запрошуються студенти</w:t>
      </w:r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="00B11428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закладів вищої освіти юридичного спрямування за спеціальностями  081 “Право”  та 293 “Міжнародне право”, за якими здобувається вища освіта на рівні “бакалавр” чи “магістр”.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Участь у  Школі  здійснюється  на  добровільних засадах і є безоплатною для учасників і учасниць.</w:t>
      </w:r>
    </w:p>
    <w:p w:rsidR="000C041B" w:rsidRDefault="000C04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Pr="00B11428" w:rsidRDefault="006826D7" w:rsidP="00B11428">
      <w:pPr>
        <w:pStyle w:val="ac"/>
        <w:widowControl w:val="0"/>
        <w:numPr>
          <w:ilvl w:val="0"/>
          <w:numId w:val="8"/>
        </w:numPr>
        <w:ind w:left="284" w:hanging="284"/>
        <w:jc w:val="both"/>
        <w:rPr>
          <w:b/>
          <w:sz w:val="28"/>
          <w:szCs w:val="28"/>
        </w:rPr>
      </w:pPr>
      <w:r w:rsidRPr="00B11428">
        <w:rPr>
          <w:rFonts w:ascii="Times New Roman" w:eastAsia="Times New Roman" w:hAnsi="Times New Roman" w:cs="Times New Roman"/>
          <w:b/>
          <w:sz w:val="28"/>
          <w:szCs w:val="28"/>
        </w:rPr>
        <w:t>Умови проведення Конкурсу</w:t>
      </w:r>
    </w:p>
    <w:p w:rsidR="000C041B" w:rsidRDefault="000C041B">
      <w:pPr>
        <w:widowControl w:val="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C041B" w:rsidRDefault="006826D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До третього етапу Зимової школи допускаються учасники/</w:t>
      </w:r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ці, які взяли участь </w:t>
      </w:r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менше ніж </w:t>
      </w:r>
      <w:r>
        <w:rPr>
          <w:rFonts w:ascii="Times New Roman" w:eastAsia="Times New Roman" w:hAnsi="Times New Roman" w:cs="Times New Roman"/>
          <w:sz w:val="28"/>
          <w:szCs w:val="28"/>
        </w:rPr>
        <w:t>у 4-6 онлайн-зустрічах.</w:t>
      </w:r>
    </w:p>
    <w:p w:rsidR="000C041B" w:rsidRDefault="00C437F8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Учасники /-ц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і мають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обов’язково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підготувати есе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на одну з тем, зазначених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п.5.6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41B" w:rsidRDefault="00C437F8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. Подані на Конкурс роботи мають відповідати меті, 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та  критеріям оцінювання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(Додаток 2).</w:t>
      </w:r>
    </w:p>
    <w:p w:rsidR="000C041B" w:rsidRDefault="006826D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437F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Учасники/</w:t>
      </w:r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 Конкурсу надають організаторам право публікувати роботи із зазначенням авторства для популяризації ідей і мети Конкурсу та підвищення обізнаності </w:t>
      </w:r>
      <w:r w:rsidR="00C437F8">
        <w:rPr>
          <w:rFonts w:ascii="Times New Roman" w:eastAsia="Times New Roman" w:hAnsi="Times New Roman" w:cs="Times New Roman"/>
          <w:sz w:val="28"/>
          <w:szCs w:val="28"/>
        </w:rPr>
        <w:t xml:space="preserve">суспільства про права людини 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міжнародне гуманітарне право в умовах збройної агресії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проти України. За бажанням учасника/учасниці конкурсу його робота може бути розміщена без зазначення авторства.</w:t>
      </w:r>
    </w:p>
    <w:p w:rsidR="000C041B" w:rsidRDefault="00C437F8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. На Конкурс приймаються есе, оформлені відповідно до наступних вимог:</w:t>
      </w:r>
    </w:p>
    <w:p w:rsidR="000C041B" w:rsidRDefault="006826D7">
      <w:pPr>
        <w:numPr>
          <w:ilvl w:val="0"/>
          <w:numId w:val="6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есе мають містити роздуми з приводу визначеної теми, переконливі і  аргументовані твердження;</w:t>
      </w:r>
    </w:p>
    <w:p w:rsidR="000C041B" w:rsidRDefault="006826D7">
      <w:pPr>
        <w:numPr>
          <w:ilvl w:val="0"/>
          <w:numId w:val="6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мають бути виконаними державною мовою;</w:t>
      </w:r>
    </w:p>
    <w:p w:rsidR="000C041B" w:rsidRDefault="006826D7">
      <w:pPr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подані в електронному форматі обсягом не більше 4-х аркушів А4 у форматі Word шрифтом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14;</w:t>
      </w:r>
    </w:p>
    <w:p w:rsidR="000C041B" w:rsidRDefault="006826D7">
      <w:pPr>
        <w:numPr>
          <w:ilvl w:val="0"/>
          <w:numId w:val="6"/>
        </w:num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 повинен містити прізвище автора/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зразком: Шевченко Т._ есе;   </w:t>
      </w:r>
    </w:p>
    <w:p w:rsidR="000C041B" w:rsidRDefault="000C041B">
      <w:pPr>
        <w:spacing w:line="259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C437F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. Тематика конкурсних робіт:</w:t>
      </w:r>
    </w:p>
    <w:p w:rsidR="000C041B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C437F8">
        <w:rPr>
          <w:rFonts w:ascii="Times New Roman" w:eastAsia="Times New Roman" w:hAnsi="Times New Roman" w:cs="Times New Roman"/>
          <w:b/>
          <w:i/>
          <w:sz w:val="26"/>
          <w:szCs w:val="26"/>
        </w:rPr>
        <w:t>Портрет юриста/юристки в повоєнній Україні: виклики, професійні ко</w:t>
      </w:r>
      <w:r w:rsidR="00C437F8">
        <w:rPr>
          <w:rFonts w:ascii="Times New Roman" w:eastAsia="Times New Roman" w:hAnsi="Times New Roman" w:cs="Times New Roman"/>
          <w:b/>
          <w:i/>
          <w:sz w:val="26"/>
          <w:szCs w:val="26"/>
        </w:rPr>
        <w:t>мпетентності та особисті якості;</w:t>
      </w:r>
    </w:p>
    <w:p w:rsidR="000C041B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C437F8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Чи можна перемогти у війні, не обмежуючи права людини?</w:t>
      </w:r>
    </w:p>
    <w:p w:rsidR="00C437F8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r w:rsidRPr="00C437F8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 xml:space="preserve">Чи є війна доказом неефективності міжнародного права? </w:t>
      </w:r>
    </w:p>
    <w:p w:rsidR="00C437F8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r w:rsidRPr="00C437F8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Правова допомога ворогу України: юридичні та етичні кордони</w:t>
      </w:r>
    </w:p>
    <w:p w:rsidR="000C041B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r w:rsidRPr="00C437F8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Доброчесність у юридичній професії: усвідомлена потреба чи карго-культ?</w:t>
      </w:r>
    </w:p>
    <w:p w:rsidR="000C041B" w:rsidRPr="00C437F8" w:rsidRDefault="006826D7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</w:pPr>
      <w:r w:rsidRPr="00C437F8"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</w:rPr>
        <w:t>Чи на часі концепція правосуддя перехідного періоду у розпал війни?</w:t>
      </w:r>
    </w:p>
    <w:p w:rsidR="000C041B" w:rsidRDefault="006826D7">
      <w:pPr>
        <w:spacing w:line="259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C041B" w:rsidRDefault="00C437F8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 Для участі в конкурсі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есе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автори/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6826D7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 xml:space="preserve">до 23 год. 59 хв. 25 лютого 2024 року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  направляють есе разом з інформацією про автора/ку (ПІБ, телефон) на електронну пошту організатора конкурсу </w:t>
      </w:r>
      <w:hyperlink r:id="rId8">
        <w:r w:rsidR="006826D7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edu.students@helsinki.org.ua</w:t>
        </w:r>
      </w:hyperlink>
      <w:r w:rsidR="006826D7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C437F8" w:rsidRDefault="00C437F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C437F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. Не допускаються до участі в Конкурсі роботи, які:</w:t>
      </w:r>
    </w:p>
    <w:p w:rsidR="000C041B" w:rsidRDefault="006826D7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відповідають тематиці 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вимогам Конкурсу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41B" w:rsidRDefault="006826D7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пропагують насильство, расизм, ксенофобію, містять мову ворожнечі, відверту або приховану рекламу товарів чи послуг, політичних партій;</w:t>
      </w:r>
    </w:p>
    <w:p w:rsidR="000C041B" w:rsidRDefault="006826D7">
      <w:pPr>
        <w:widowControl w:val="0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порушують академічну доброчесність;</w:t>
      </w:r>
    </w:p>
    <w:p w:rsidR="000C041B" w:rsidRDefault="006826D7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подані після завершення терміну прийому робіт на Конкурс.</w:t>
      </w:r>
    </w:p>
    <w:p w:rsidR="000C041B" w:rsidRDefault="000C04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Pr="00C437F8" w:rsidRDefault="006826D7" w:rsidP="00C437F8">
      <w:pPr>
        <w:pStyle w:val="ac"/>
        <w:widowControl w:val="0"/>
        <w:numPr>
          <w:ilvl w:val="0"/>
          <w:numId w:val="8"/>
        </w:numPr>
        <w:ind w:left="284" w:hanging="284"/>
        <w:jc w:val="both"/>
        <w:rPr>
          <w:b/>
          <w:sz w:val="28"/>
          <w:szCs w:val="28"/>
        </w:rPr>
      </w:pPr>
      <w:r w:rsidRPr="00C437F8">
        <w:rPr>
          <w:rFonts w:ascii="Times New Roman" w:eastAsia="Times New Roman" w:hAnsi="Times New Roman" w:cs="Times New Roman"/>
          <w:b/>
          <w:sz w:val="28"/>
          <w:szCs w:val="28"/>
        </w:rPr>
        <w:t>Організаційний комітет та Журі Конкурсу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Для організації та проведення Конкурсу створюється Організаційний комітет Конкурсу (далі - Оргкомітет). 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Оргкомітет уповноважений приймати рішення щодо усіх питань з організації та проведення Конкурсу. 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Для оцінки розробок та визначення переможців Оргкомітет створює Журі Конкурсу (далі - Журі).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Оргкомітет затверджує кількісний та персональний склад Журі. 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Оргкомітет не має права втручатися в роботу Журі та впливати на оцінювання робіт. </w:t>
      </w:r>
    </w:p>
    <w:p w:rsidR="000C041B" w:rsidRDefault="000C04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0C04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Pr="00C437F8" w:rsidRDefault="006826D7" w:rsidP="00C437F8">
      <w:pPr>
        <w:pStyle w:val="ac"/>
        <w:widowControl w:val="0"/>
        <w:numPr>
          <w:ilvl w:val="0"/>
          <w:numId w:val="8"/>
        </w:numPr>
        <w:ind w:left="426" w:hanging="426"/>
        <w:jc w:val="both"/>
        <w:rPr>
          <w:b/>
          <w:sz w:val="28"/>
          <w:szCs w:val="28"/>
        </w:rPr>
      </w:pPr>
      <w:r w:rsidRPr="00C437F8">
        <w:rPr>
          <w:rFonts w:ascii="Times New Roman" w:eastAsia="Times New Roman" w:hAnsi="Times New Roman" w:cs="Times New Roman"/>
          <w:b/>
          <w:sz w:val="28"/>
          <w:szCs w:val="28"/>
        </w:rPr>
        <w:t>Оцінювання письмових робіт та визначення переможців Конкурсу</w:t>
      </w:r>
    </w:p>
    <w:p w:rsidR="000C041B" w:rsidRDefault="006826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7.1. Оцінку робіт та визначення переможців</w:t>
      </w:r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="00C437F8">
        <w:rPr>
          <w:rFonts w:ascii="Times New Roman" w:eastAsia="Times New Roman" w:hAnsi="Times New Roman" w:cs="Times New Roman"/>
          <w:sz w:val="28"/>
          <w:szCs w:val="28"/>
          <w:lang w:val="uk-UA"/>
        </w:rPr>
        <w:t>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 Журі. </w:t>
      </w:r>
    </w:p>
    <w:p w:rsidR="000C041B" w:rsidRDefault="006826D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Неупередженість та анонімність процесу оцінювання робіт забезпечує Оргкомітет. </w:t>
      </w:r>
    </w:p>
    <w:p w:rsidR="000C041B" w:rsidRDefault="006826D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Кожен з членів Журі оцінює роботу шляхом виставлення балів за кожним із критеріїв за 10-бальною шкалою. Підсумкова кількість балів до кожної роботи формується шляхом складання оцінок експертів за кожним критерієм.</w:t>
      </w:r>
    </w:p>
    <w:p w:rsidR="000C041B" w:rsidRDefault="006826D7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Критерії оцінювання письмових  робіт наведені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Додатку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 цього Положення.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7.5. У разі набрання учасниками/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однакової кількості балів рішення про визначення переможця/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приймається головою Журі.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7.6. Результати Конкурсу є остаточними та не підлягають оскарженню. </w:t>
      </w:r>
    </w:p>
    <w:p w:rsidR="000C041B" w:rsidRDefault="000C04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3E1BBE" w:rsidP="003E1BBE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>Нагородження учасників/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>ць</w:t>
      </w:r>
      <w:proofErr w:type="spellEnd"/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Конкурсу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8.1.Автори/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3-х есе, які набрали найбільшу кількість балів,   нагороджуються дипломами переможців Конкурсу та цінними подарунками від організаторів Конкурсу, інших організацій або громадян.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Серед робіт, автори/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яких не увійшли до визначеної згідно з п.8.1. трійки переможців, у рамках кожної з тем Журі за кількістю балів визначає  роботу, автор/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ка якої нагороджується відзнакою Журі.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Учасники/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ці Конкурсу, які набрали понад 30 балів, нагороджуються дипломами лауреатів/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 Усі учасники/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ці Конкурсу, які набрали до 30 балів, отримують дипломи учасників/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Конкурсу. 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 Кращі роботи учасників/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визначені Журі, будуть рекомендовані для публікації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вебресурсах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Гельсінської спілки з прав людини та Міністерства освіти і науки України. </w:t>
      </w:r>
    </w:p>
    <w:p w:rsidR="000C041B" w:rsidRDefault="000C04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3E1BBE" w:rsidP="003E1BBE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9. </w:t>
      </w:r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>Авторські права та право на захист персональних даних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Усі права на твір належать автору/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ці. </w:t>
      </w:r>
    </w:p>
    <w:p w:rsidR="000C041B" w:rsidRDefault="003E1BBE">
      <w:pPr>
        <w:widowControl w:val="0"/>
        <w:jc w:val="both"/>
        <w:rPr>
          <w:color w:val="202122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>Подаючи твір на Конкурс, учасник/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6826D7">
        <w:rPr>
          <w:rFonts w:ascii="Times New Roman" w:eastAsia="Times New Roman" w:hAnsi="Times New Roman" w:cs="Times New Roman"/>
          <w:sz w:val="28"/>
          <w:szCs w:val="28"/>
        </w:rPr>
        <w:t xml:space="preserve">ця гарантує дотримання законодавства України про академічну доброчесність відповідно до ст. 42 </w:t>
      </w:r>
      <w:r w:rsidR="006826D7"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Закону України “Про освіту”.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Надсилаючи твір та персональні дані на Конкурс, учасники/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ці Конкурсу відповідно до Закону України «Про захист персональних даних» від 1 червня 2010 року № 2297-УІ надають згоду на збір та обробку особистих персональних даних.</w:t>
      </w:r>
    </w:p>
    <w:p w:rsidR="000C041B" w:rsidRDefault="00682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Подання твору на Конкурс автоматично означає згоду з його правилами і дозвіл організаторам/</w:t>
      </w:r>
      <w:r w:rsidR="003E1BB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 Конкурсу розміщувати його в друкованих та електронних медіа, включати до збірників та поширювати в будь-який інший доступний їм спосіб із зазначенням авторства роботи. Усі спірні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питання щодо авторських прав вирішуються згідно з чинним законодавством України.</w:t>
      </w:r>
    </w:p>
    <w:p w:rsidR="000C041B" w:rsidRDefault="000C041B">
      <w:pPr>
        <w:widowControl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041B" w:rsidRDefault="003E1BBE" w:rsidP="003E1BBE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10. </w:t>
      </w:r>
      <w:r w:rsidR="006826D7">
        <w:rPr>
          <w:rFonts w:ascii="Times New Roman" w:eastAsia="Times New Roman" w:hAnsi="Times New Roman" w:cs="Times New Roman"/>
          <w:b/>
          <w:sz w:val="28"/>
          <w:szCs w:val="28"/>
        </w:rPr>
        <w:t>Фінансування конкурсу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Фінансування Конкурсу здійснюється з джерел громадських та інших організацій, а також інших джерел, не заборонених законодавством.</w:t>
      </w:r>
    </w:p>
    <w:p w:rsidR="000C041B" w:rsidRDefault="006826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Призовий фонд формується за рахунок коштів організаторів, а також за рахунок спонсорів Конкурсу та  коштів,  не  заборонених законодавством.</w:t>
      </w:r>
    </w:p>
    <w:p w:rsidR="000C041B" w:rsidRDefault="000C041B">
      <w:pPr>
        <w:widowControl w:val="0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Прикінцеві положення</w:t>
      </w:r>
    </w:p>
    <w:p w:rsidR="000C041B" w:rsidRDefault="000C041B">
      <w:pPr>
        <w:spacing w:line="259" w:lineRule="auto"/>
        <w:ind w:left="56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 w:rsidP="003E1BBE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Оргкомітет Конкурсу залишає за собою право вносити зміни в Положення Конкурсу.</w:t>
      </w:r>
    </w:p>
    <w:p w:rsidR="000C041B" w:rsidRDefault="000C041B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1BBE" w:rsidRDefault="003E1BBE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4ECC" w:rsidRDefault="00214ECC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14ECC" w:rsidRDefault="00214ECC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0C041B" w:rsidRDefault="000C041B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041B" w:rsidRDefault="006826D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Теми</w:t>
      </w:r>
    </w:p>
    <w:p w:rsidR="000C041B" w:rsidRDefault="006826D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 циклу експертних онлайн зустрічей для учасників та учасниць Зимової школи з міжнародного гуманітарного права для студентів-правників “Юридична професія під час та після війни”</w:t>
      </w:r>
    </w:p>
    <w:p w:rsidR="00280C26" w:rsidRDefault="00280C26" w:rsidP="00280C26">
      <w:pPr>
        <w:spacing w:after="160" w:line="259" w:lineRule="auto"/>
        <w:rPr>
          <w:color w:val="050505"/>
          <w:sz w:val="23"/>
          <w:szCs w:val="23"/>
          <w:shd w:val="clear" w:color="auto" w:fill="F0F0F0"/>
        </w:rPr>
      </w:pPr>
    </w:p>
    <w:tbl>
      <w:tblPr>
        <w:tblStyle w:val="a5"/>
        <w:tblW w:w="9705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440"/>
        <w:gridCol w:w="4785"/>
      </w:tblGrid>
      <w:tr w:rsidR="00280C26" w:rsidTr="008A758F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</w:rPr>
              <w:t>Тема  експертної зустрічі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</w:rPr>
              <w:t>Зміст</w:t>
            </w:r>
          </w:p>
        </w:tc>
      </w:tr>
      <w:tr w:rsidR="00280C26" w:rsidTr="008A758F">
        <w:trPr>
          <w:trHeight w:val="933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</w:rPr>
            </w:pPr>
            <w:r w:rsidRPr="00280C26">
              <w:rPr>
                <w:color w:val="050505"/>
                <w:sz w:val="28"/>
                <w:szCs w:val="28"/>
              </w:rPr>
              <w:t>1</w:t>
            </w:r>
          </w:p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</w:rPr>
            </w:pP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Як теорія стала практикою: </w:t>
            </w: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виклики, що постали перед представниками та представницями різних юридичних професій у зв’язку зі збройним конфліктом в Україні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Вступ. Презентація Зимової школи </w:t>
            </w:r>
          </w:p>
        </w:tc>
      </w:tr>
      <w:tr w:rsidR="00280C26" w:rsidTr="008A758F">
        <w:trPr>
          <w:trHeight w:val="93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Розповіді спікерів і </w:t>
            </w:r>
            <w:proofErr w:type="spellStart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спікерок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 про себе: чим займалися до війни та чим займаються під час неї (що змінилося)</w:t>
            </w:r>
          </w:p>
        </w:tc>
      </w:tr>
      <w:tr w:rsidR="00280C26" w:rsidTr="00280C26">
        <w:trPr>
          <w:trHeight w:val="32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</w:tr>
      <w:tr w:rsidR="00280C26" w:rsidTr="008A758F">
        <w:trPr>
          <w:trHeight w:val="44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</w:tr>
      <w:tr w:rsidR="00280C26" w:rsidTr="00280C26">
        <w:trPr>
          <w:trHeight w:val="32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</w:tr>
      <w:tr w:rsidR="00280C26" w:rsidTr="00280C26">
        <w:trPr>
          <w:trHeight w:val="32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</w:tr>
      <w:tr w:rsidR="00280C26" w:rsidTr="008A758F">
        <w:trPr>
          <w:trHeight w:val="43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2</w:t>
            </w: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Права людини - завжди на часі: як зберегти цю цінність під час і після війни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 xml:space="preserve">Універсальні та регіональні механізми захисту прав людини 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Робота українського правника в європейській системі захисту прав людини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Свобода вираження поглядів </w:t>
            </w: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та кримінальна відповідальність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Необхідність додержання прав людини під час та після </w:t>
            </w:r>
            <w:proofErr w:type="spellStart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деокупації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</w:tc>
      </w:tr>
      <w:tr w:rsidR="00280C26" w:rsidTr="008A758F">
        <w:trPr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3</w:t>
            </w: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Міжнародне право не працює? Відповідальність за воєнні злочини та інші порушення міжнародного права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Робота юриста-міжнародника по напряму притягнення російської федерації та її громадян до відповідальності за порушення міжнародного права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Невідворотність кримінального переслідування воєнних злочинців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Кримінальна відповідальність за порушення законів та звичаїв війни в межах національного законодавства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280C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Міжнародне право працює.</w:t>
            </w: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 </w:t>
            </w: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Або як переконати військовослужбовців дотримуватись МГП</w:t>
            </w:r>
          </w:p>
        </w:tc>
      </w:tr>
      <w:tr w:rsidR="00280C26" w:rsidTr="008A758F">
        <w:trPr>
          <w:trHeight w:val="44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Триступеневий тест на ознаки вчинення воєнного злочину та “все” про воєнні злочини 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</w:rPr>
            </w:pPr>
          </w:p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</w:rPr>
            </w:pPr>
            <w:r w:rsidRPr="00280C26">
              <w:rPr>
                <w:color w:val="050505"/>
                <w:sz w:val="28"/>
                <w:szCs w:val="28"/>
              </w:rPr>
              <w:t>4</w:t>
            </w: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Коли ворог може бути серед своїх: про колабораціонізм і не тільки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280C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Колабораціонізм через призму</w:t>
            </w: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 міжнародного гуманітарного права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280C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Притягнення до кримінальної відповідальності за співпрацю з ворогом осіб, які надають основні послуги населенню окупованої території</w:t>
            </w: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uk-UA"/>
              </w:rPr>
              <w:t xml:space="preserve">. </w:t>
            </w: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Криміналізація державної зради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Ризики, з якими стикаються адвокати під час роботи по "непопулярним" справам</w:t>
            </w:r>
          </w:p>
        </w:tc>
      </w:tr>
      <w:tr w:rsidR="00280C26" w:rsidTr="008A758F">
        <w:trPr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5</w:t>
            </w: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Доброчесність у воєнній та повоєнній Україні: внутрішня потреба та зовнішня вимога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дині етичні стандарти правників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Бангалорські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 принципи поведінки суддів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Визначення статусу викривача у злочинах службової діяльності</w:t>
            </w:r>
          </w:p>
        </w:tc>
      </w:tr>
      <w:tr w:rsidR="00280C26" w:rsidTr="008A758F">
        <w:trPr>
          <w:trHeight w:val="44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Етика та доброчесність адвокатів</w:t>
            </w:r>
          </w:p>
        </w:tc>
      </w:tr>
      <w:tr w:rsidR="00280C26" w:rsidTr="008A758F">
        <w:trPr>
          <w:trHeight w:val="43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6</w:t>
            </w:r>
          </w:p>
        </w:tc>
        <w:tc>
          <w:tcPr>
            <w:tcW w:w="4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Жити далі, жити разом: як Україні може допомогти концепція правосуддя перехідного періоду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 xml:space="preserve">Люстрація замість кримінальної відповідальності </w:t>
            </w:r>
          </w:p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</w:p>
        </w:tc>
      </w:tr>
      <w:tr w:rsidR="00280C26" w:rsidTr="008A758F">
        <w:trPr>
          <w:trHeight w:val="44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color w:val="050505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4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  <w:t>Амністія як спосіб примирення у суспільстві</w:t>
            </w:r>
          </w:p>
          <w:p w:rsidR="00280C26" w:rsidRPr="00280C26" w:rsidRDefault="00280C26" w:rsidP="008A75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</w:rPr>
            </w:pPr>
          </w:p>
        </w:tc>
      </w:tr>
      <w:tr w:rsidR="00280C26" w:rsidTr="008A758F">
        <w:trPr>
          <w:trHeight w:val="44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3"/>
                <w:szCs w:val="23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3"/>
                <w:szCs w:val="23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4"/>
                <w:szCs w:val="24"/>
                <w:shd w:val="clear" w:color="auto" w:fill="F0F0F0"/>
              </w:rPr>
            </w:pPr>
          </w:p>
        </w:tc>
      </w:tr>
      <w:tr w:rsidR="00280C26" w:rsidTr="008A758F">
        <w:trPr>
          <w:trHeight w:val="43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3"/>
                <w:szCs w:val="23"/>
                <w:shd w:val="clear" w:color="auto" w:fill="F0F0F0"/>
              </w:rPr>
            </w:pPr>
          </w:p>
        </w:tc>
        <w:tc>
          <w:tcPr>
            <w:tcW w:w="4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3"/>
                <w:szCs w:val="23"/>
                <w:shd w:val="clear" w:color="auto" w:fill="F0F0F0"/>
              </w:rPr>
            </w:pPr>
          </w:p>
        </w:tc>
        <w:tc>
          <w:tcPr>
            <w:tcW w:w="4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C26" w:rsidRDefault="00280C26" w:rsidP="008A758F">
            <w:pPr>
              <w:widowControl w:val="0"/>
              <w:spacing w:line="240" w:lineRule="auto"/>
              <w:rPr>
                <w:color w:val="050505"/>
                <w:sz w:val="23"/>
                <w:szCs w:val="23"/>
                <w:shd w:val="clear" w:color="auto" w:fill="F0F0F0"/>
              </w:rPr>
            </w:pPr>
          </w:p>
        </w:tc>
      </w:tr>
    </w:tbl>
    <w:p w:rsidR="00280C26" w:rsidRDefault="00280C26" w:rsidP="00280C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C26" w:rsidRDefault="00280C2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41B" w:rsidRDefault="006826D7">
      <w:pPr>
        <w:spacing w:after="160" w:line="259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2</w:t>
      </w:r>
    </w:p>
    <w:p w:rsidR="000C041B" w:rsidRDefault="006826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КРИТЕРІЇ ОЦІНЮВАННЯ                                                                                                    письмових робіт, поданих на конкурс </w:t>
      </w:r>
    </w:p>
    <w:p w:rsidR="000C041B" w:rsidRDefault="000C041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2924"/>
        <w:gridCol w:w="2126"/>
        <w:gridCol w:w="3890"/>
      </w:tblGrid>
      <w:tr w:rsidR="000C041B" w:rsidTr="00280C26">
        <w:tc>
          <w:tcPr>
            <w:tcW w:w="615" w:type="dxa"/>
          </w:tcPr>
          <w:p w:rsidR="000C041B" w:rsidRDefault="000C04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4" w:type="dxa"/>
          </w:tcPr>
          <w:p w:rsidR="000C041B" w:rsidRPr="00280C26" w:rsidRDefault="006826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Критерії оцінювання</w:t>
            </w:r>
          </w:p>
        </w:tc>
        <w:tc>
          <w:tcPr>
            <w:tcW w:w="2126" w:type="dxa"/>
          </w:tcPr>
          <w:p w:rsid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 кількість</w:t>
            </w:r>
          </w:p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балів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Пояснення змісту критеріїв</w:t>
            </w: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ind w:left="502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0C041B" w:rsidRPr="00280C26" w:rsidRDefault="00682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Відповідність твору меті та умовам Конкурсу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  зміст роботи відповідає тематиці Конкурсу?</w:t>
            </w:r>
          </w:p>
          <w:p w:rsidR="000C041B" w:rsidRPr="00280C26" w:rsidRDefault="000C041B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widowControl w:val="0"/>
              <w:spacing w:line="276" w:lineRule="auto"/>
              <w:ind w:left="502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0C041B" w:rsidRPr="00280C26" w:rsidRDefault="00682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Відповідність змісту роботи принципам і цінностям МГП та праву прав людини 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Чи зміст роботи відповідає філософії та концепції прав людини та </w:t>
            </w:r>
            <w:r w:rsidR="00280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прав </w:t>
            </w:r>
            <w:r w:rsid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дитини в умовах війни</w:t>
            </w:r>
            <w:r w:rsidR="00280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  <w:r w:rsidR="00280C26">
              <w:t xml:space="preserve"> </w:t>
            </w:r>
            <w:r w:rsidR="00280C26"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принципам і цінностям МГП</w:t>
            </w:r>
            <w:r w:rsidR="00280C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?</w:t>
            </w:r>
          </w:p>
          <w:p w:rsidR="000C041B" w:rsidRPr="00280C26" w:rsidRDefault="000C041B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widowControl w:val="0"/>
              <w:spacing w:line="276" w:lineRule="auto"/>
              <w:ind w:left="502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0C041B" w:rsidRPr="00280C26" w:rsidRDefault="00682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Наявність логічної структури викладу думок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Чи має есе правильну композицію (з точки зору її </w:t>
            </w:r>
            <w:r w:rsidRPr="00280C26">
              <w:rPr>
                <w:rFonts w:ascii="Times New Roman" w:eastAsia="Times New Roman" w:hAnsi="Times New Roman" w:cs="Times New Roman"/>
                <w:i/>
                <w:color w:val="444746"/>
                <w:sz w:val="28"/>
                <w:szCs w:val="28"/>
                <w:highlight w:val="white"/>
              </w:rPr>
              <w:t xml:space="preserve">структури, наявності у творі введення, кульмінації і розв'язки, побудови речень, ритму </w:t>
            </w:r>
            <w:proofErr w:type="spellStart"/>
            <w:r w:rsidRPr="00280C26">
              <w:rPr>
                <w:rFonts w:ascii="Times New Roman" w:eastAsia="Times New Roman" w:hAnsi="Times New Roman" w:cs="Times New Roman"/>
                <w:i/>
                <w:color w:val="444746"/>
                <w:sz w:val="28"/>
                <w:szCs w:val="28"/>
                <w:highlight w:val="white"/>
              </w:rPr>
              <w:t>текста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i/>
                <w:color w:val="444746"/>
                <w:sz w:val="28"/>
                <w:szCs w:val="28"/>
                <w:highlight w:val="white"/>
              </w:rPr>
              <w:t>, використаних джерел</w:t>
            </w: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)?</w:t>
            </w: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widowControl w:val="0"/>
              <w:spacing w:line="276" w:lineRule="auto"/>
              <w:ind w:left="502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4" w:type="dxa"/>
          </w:tcPr>
          <w:p w:rsidR="000C041B" w:rsidRPr="00280C26" w:rsidRDefault="006826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власної аргументованої точки зору, висновків 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Чи змістовно та </w:t>
            </w:r>
            <w:proofErr w:type="spellStart"/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логічно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 творі викладено аргументи? Чи зрозумілою є точка зору автора</w:t>
            </w:r>
            <w:r w:rsidR="00397D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/-</w:t>
            </w:r>
            <w:proofErr w:type="spellStart"/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ки</w:t>
            </w:r>
            <w:proofErr w:type="spellEnd"/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0C041B" w:rsidRPr="00280C26" w:rsidRDefault="000C041B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ind w:left="502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4" w:type="dxa"/>
          </w:tcPr>
          <w:p w:rsidR="000C041B" w:rsidRPr="00280C26" w:rsidRDefault="006826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Оригінальність змісту та креативність форми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Наскільки оригінальні та креативні підходи  використовуються в есе?</w:t>
            </w:r>
          </w:p>
        </w:tc>
      </w:tr>
      <w:tr w:rsidR="000C041B" w:rsidTr="00280C26">
        <w:tc>
          <w:tcPr>
            <w:tcW w:w="615" w:type="dxa"/>
          </w:tcPr>
          <w:p w:rsidR="000C041B" w:rsidRDefault="006826D7">
            <w:pPr>
              <w:ind w:left="502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4" w:type="dxa"/>
          </w:tcPr>
          <w:p w:rsidR="000C041B" w:rsidRPr="00280C26" w:rsidRDefault="006826D7" w:rsidP="00397D8F">
            <w:pPr>
              <w:widowControl w:val="0"/>
              <w:spacing w:line="276" w:lineRule="auto"/>
              <w:ind w:left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 історичних передумов та/або сучасного контексту</w:t>
            </w:r>
          </w:p>
        </w:tc>
        <w:tc>
          <w:tcPr>
            <w:tcW w:w="2126" w:type="dxa"/>
          </w:tcPr>
          <w:p w:rsidR="000C041B" w:rsidRPr="00280C26" w:rsidRDefault="006826D7" w:rsidP="00397D8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0" w:type="dxa"/>
          </w:tcPr>
          <w:p w:rsidR="000C041B" w:rsidRPr="00280C26" w:rsidRDefault="006826D7">
            <w:pPr>
              <w:ind w:right="34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Наскільки автори/авторки демонструють обізнаність щодо історії питання та/або усвідомлення сучасних умов суспільного життя? </w:t>
            </w:r>
          </w:p>
        </w:tc>
      </w:tr>
      <w:tr w:rsidR="000C041B" w:rsidTr="00280C26">
        <w:tc>
          <w:tcPr>
            <w:tcW w:w="615" w:type="dxa"/>
          </w:tcPr>
          <w:p w:rsidR="000C041B" w:rsidRDefault="000C04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0C041B" w:rsidRPr="00280C26" w:rsidRDefault="00682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C2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2126" w:type="dxa"/>
          </w:tcPr>
          <w:p w:rsidR="000C041B" w:rsidRPr="00280C26" w:rsidRDefault="0068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</w:p>
        </w:tc>
        <w:tc>
          <w:tcPr>
            <w:tcW w:w="3890" w:type="dxa"/>
          </w:tcPr>
          <w:p w:rsidR="000C041B" w:rsidRPr="00280C26" w:rsidRDefault="000C041B">
            <w:pPr>
              <w:ind w:right="34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C041B" w:rsidRDefault="000C041B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0C041B" w:rsidRDefault="000C041B">
      <w:pPr>
        <w:spacing w:after="160" w:line="259" w:lineRule="auto"/>
      </w:pPr>
    </w:p>
    <w:sectPr w:rsidR="000C041B" w:rsidSect="00E65674">
      <w:pgSz w:w="11909" w:h="16834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502"/>
    <w:multiLevelType w:val="multilevel"/>
    <w:tmpl w:val="76C6FA4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B19D5"/>
    <w:multiLevelType w:val="multilevel"/>
    <w:tmpl w:val="4B1ABCEC"/>
    <w:lvl w:ilvl="0">
      <w:start w:val="8"/>
      <w:numFmt w:val="decimal"/>
      <w:lvlText w:val="%1."/>
      <w:lvlJc w:val="left"/>
      <w:pPr>
        <w:ind w:left="390" w:hanging="39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2D2232C9"/>
    <w:multiLevelType w:val="multilevel"/>
    <w:tmpl w:val="068A21E6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</w:rPr>
    </w:lvl>
    <w:lvl w:ilvl="1">
      <w:start w:val="1"/>
      <w:numFmt w:val="decimal"/>
      <w:lvlText w:val="●.%2"/>
      <w:lvlJc w:val="left"/>
      <w:pPr>
        <w:ind w:left="1428" w:hanging="719"/>
      </w:pPr>
      <w:rPr>
        <w:rFonts w:ascii="Arial" w:eastAsia="Arial" w:hAnsi="Arial" w:cs="Arial"/>
        <w:b/>
        <w:color w:val="000000"/>
        <w:sz w:val="24"/>
        <w:szCs w:val="24"/>
      </w:rPr>
    </w:lvl>
    <w:lvl w:ilvl="2">
      <w:start w:val="1"/>
      <w:numFmt w:val="decimal"/>
      <w:lvlText w:val="●.%2.%3"/>
      <w:lvlJc w:val="left"/>
      <w:pPr>
        <w:ind w:left="1428" w:hanging="719"/>
      </w:pPr>
      <w:rPr>
        <w:rFonts w:ascii="Arial" w:eastAsia="Arial" w:hAnsi="Arial" w:cs="Arial"/>
        <w:b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1788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4">
      <w:start w:val="1"/>
      <w:numFmt w:val="decimal"/>
      <w:lvlText w:val="●.%2.%3.·.%5"/>
      <w:lvlJc w:val="left"/>
      <w:pPr>
        <w:ind w:left="1788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5">
      <w:start w:val="1"/>
      <w:numFmt w:val="decimal"/>
      <w:lvlText w:val="●.%2.%3.·.%5.%6"/>
      <w:lvlJc w:val="left"/>
      <w:pPr>
        <w:ind w:left="2148" w:hanging="1440"/>
      </w:pPr>
      <w:rPr>
        <w:rFonts w:ascii="Arial" w:eastAsia="Arial" w:hAnsi="Arial" w:cs="Arial"/>
        <w:b/>
        <w:color w:val="000000"/>
        <w:sz w:val="24"/>
        <w:szCs w:val="24"/>
      </w:rPr>
    </w:lvl>
    <w:lvl w:ilvl="6">
      <w:start w:val="1"/>
      <w:numFmt w:val="decimal"/>
      <w:lvlText w:val="●.%2.%3.·.%5.%6.%7"/>
      <w:lvlJc w:val="left"/>
      <w:pPr>
        <w:ind w:left="2508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7">
      <w:start w:val="1"/>
      <w:numFmt w:val="decimal"/>
      <w:lvlText w:val="●.%2.%3.·.%5.%6.%7.%8"/>
      <w:lvlJc w:val="left"/>
      <w:pPr>
        <w:ind w:left="2508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8">
      <w:start w:val="1"/>
      <w:numFmt w:val="decimal"/>
      <w:lvlText w:val="●.%2.%3.·.%5.%6.%7.%8.%9"/>
      <w:lvlJc w:val="left"/>
      <w:pPr>
        <w:ind w:left="2868" w:hanging="2160"/>
      </w:pPr>
      <w:rPr>
        <w:rFonts w:ascii="Arial" w:eastAsia="Arial" w:hAnsi="Arial" w:cs="Arial"/>
        <w:b/>
        <w:color w:val="000000"/>
        <w:sz w:val="24"/>
        <w:szCs w:val="24"/>
      </w:rPr>
    </w:lvl>
  </w:abstractNum>
  <w:abstractNum w:abstractNumId="3" w15:restartNumberingAfterBreak="0">
    <w:nsid w:val="339B7AE9"/>
    <w:multiLevelType w:val="multilevel"/>
    <w:tmpl w:val="13982F10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Arial" w:eastAsia="Arial" w:hAnsi="Arial" w:cs="Arial"/>
        <w:b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ascii="Arial" w:eastAsia="Arial" w:hAnsi="Arial" w:cs="Arial"/>
        <w:b/>
        <w:color w:val="000000"/>
        <w:sz w:val="24"/>
        <w:szCs w:val="24"/>
      </w:rPr>
    </w:lvl>
  </w:abstractNum>
  <w:abstractNum w:abstractNumId="4" w15:restartNumberingAfterBreak="0">
    <w:nsid w:val="4FE30B2F"/>
    <w:multiLevelType w:val="multilevel"/>
    <w:tmpl w:val="89282E1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</w:rPr>
    </w:lvl>
    <w:lvl w:ilvl="1">
      <w:start w:val="1"/>
      <w:numFmt w:val="decimal"/>
      <w:lvlText w:val="●.%2"/>
      <w:lvlJc w:val="left"/>
      <w:pPr>
        <w:ind w:left="1428" w:hanging="719"/>
      </w:pPr>
      <w:rPr>
        <w:rFonts w:ascii="Arial" w:eastAsia="Arial" w:hAnsi="Arial" w:cs="Arial"/>
        <w:b/>
        <w:color w:val="000000"/>
        <w:sz w:val="24"/>
        <w:szCs w:val="24"/>
      </w:rPr>
    </w:lvl>
    <w:lvl w:ilvl="2">
      <w:start w:val="1"/>
      <w:numFmt w:val="decimal"/>
      <w:lvlText w:val="●.%2.%3"/>
      <w:lvlJc w:val="left"/>
      <w:pPr>
        <w:ind w:left="1428" w:hanging="719"/>
      </w:pPr>
      <w:rPr>
        <w:rFonts w:ascii="Arial" w:eastAsia="Arial" w:hAnsi="Arial" w:cs="Arial"/>
        <w:b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1788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4">
      <w:start w:val="1"/>
      <w:numFmt w:val="decimal"/>
      <w:lvlText w:val="●.%2.%3.·.%5"/>
      <w:lvlJc w:val="left"/>
      <w:pPr>
        <w:ind w:left="1788" w:hanging="1080"/>
      </w:pPr>
      <w:rPr>
        <w:rFonts w:ascii="Arial" w:eastAsia="Arial" w:hAnsi="Arial" w:cs="Arial"/>
        <w:b/>
        <w:color w:val="000000"/>
        <w:sz w:val="24"/>
        <w:szCs w:val="24"/>
      </w:rPr>
    </w:lvl>
    <w:lvl w:ilvl="5">
      <w:start w:val="1"/>
      <w:numFmt w:val="decimal"/>
      <w:lvlText w:val="●.%2.%3.·.%5.%6"/>
      <w:lvlJc w:val="left"/>
      <w:pPr>
        <w:ind w:left="2148" w:hanging="1440"/>
      </w:pPr>
      <w:rPr>
        <w:rFonts w:ascii="Arial" w:eastAsia="Arial" w:hAnsi="Arial" w:cs="Arial"/>
        <w:b/>
        <w:color w:val="000000"/>
        <w:sz w:val="24"/>
        <w:szCs w:val="24"/>
      </w:rPr>
    </w:lvl>
    <w:lvl w:ilvl="6">
      <w:start w:val="1"/>
      <w:numFmt w:val="decimal"/>
      <w:lvlText w:val="●.%2.%3.·.%5.%6.%7"/>
      <w:lvlJc w:val="left"/>
      <w:pPr>
        <w:ind w:left="2508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7">
      <w:start w:val="1"/>
      <w:numFmt w:val="decimal"/>
      <w:lvlText w:val="●.%2.%3.·.%5.%6.%7.%8"/>
      <w:lvlJc w:val="left"/>
      <w:pPr>
        <w:ind w:left="2508" w:hanging="1800"/>
      </w:pPr>
      <w:rPr>
        <w:rFonts w:ascii="Arial" w:eastAsia="Arial" w:hAnsi="Arial" w:cs="Arial"/>
        <w:b/>
        <w:color w:val="000000"/>
        <w:sz w:val="24"/>
        <w:szCs w:val="24"/>
      </w:rPr>
    </w:lvl>
    <w:lvl w:ilvl="8">
      <w:start w:val="1"/>
      <w:numFmt w:val="decimal"/>
      <w:lvlText w:val="●.%2.%3.·.%5.%6.%7.%8.%9"/>
      <w:lvlJc w:val="left"/>
      <w:pPr>
        <w:ind w:left="2868" w:hanging="2160"/>
      </w:pPr>
      <w:rPr>
        <w:rFonts w:ascii="Arial" w:eastAsia="Arial" w:hAnsi="Arial" w:cs="Arial"/>
        <w:b/>
        <w:color w:val="000000"/>
        <w:sz w:val="24"/>
        <w:szCs w:val="24"/>
      </w:rPr>
    </w:lvl>
  </w:abstractNum>
  <w:abstractNum w:abstractNumId="5" w15:restartNumberingAfterBreak="0">
    <w:nsid w:val="67F61E10"/>
    <w:multiLevelType w:val="multilevel"/>
    <w:tmpl w:val="F9302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66A13"/>
    <w:multiLevelType w:val="multilevel"/>
    <w:tmpl w:val="2BA24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561F34"/>
    <w:multiLevelType w:val="hybridMultilevel"/>
    <w:tmpl w:val="999467EC"/>
    <w:lvl w:ilvl="0" w:tplc="5A1AF640">
      <w:start w:val="5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1B"/>
    <w:rsid w:val="000C041B"/>
    <w:rsid w:val="00214ECC"/>
    <w:rsid w:val="00280C26"/>
    <w:rsid w:val="00397D8F"/>
    <w:rsid w:val="003E1BBE"/>
    <w:rsid w:val="006826D7"/>
    <w:rsid w:val="00B11428"/>
    <w:rsid w:val="00C437F8"/>
    <w:rsid w:val="00CE701F"/>
    <w:rsid w:val="00E65674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902B"/>
  <w15:docId w15:val="{D3F05F71-FF64-4D39-B68B-CBBFDF76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656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6567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1142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826D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5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.students@helsinki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vLPTMyd69bEQZq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7456</Words>
  <Characters>4250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Поліна Мішакова</cp:lastModifiedBy>
  <cp:revision>2</cp:revision>
  <dcterms:created xsi:type="dcterms:W3CDTF">2024-01-15T16:09:00Z</dcterms:created>
  <dcterms:modified xsi:type="dcterms:W3CDTF">2024-01-15T16:09:00Z</dcterms:modified>
</cp:coreProperties>
</file>