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77777777" w:rsidR="00B75282" w:rsidRPr="00DE7CFB" w:rsidRDefault="00B75282" w:rsidP="00BD3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EB378F" w14:textId="77777777" w:rsidR="00A402DF" w:rsidRPr="00DE7CFB" w:rsidRDefault="00A402DF" w:rsidP="00BD3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A05A809" w14:textId="77777777" w:rsidR="00A402DF" w:rsidRPr="00DE7CFB" w:rsidRDefault="00A402DF" w:rsidP="00BD3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2106B44" w14:textId="77777777" w:rsidR="007C3F85" w:rsidRPr="00743C1F" w:rsidRDefault="007C3F85" w:rsidP="007C3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lk107674869"/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Оголошення про відкритий конкурс</w:t>
      </w:r>
    </w:p>
    <w:p w14:paraId="3AEFE4AC" w14:textId="77777777" w:rsidR="007C3F85" w:rsidRPr="00743C1F" w:rsidRDefault="007C3F85" w:rsidP="007C3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Української Гельсінської Спілки з прав людини</w:t>
      </w: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bookmarkEnd w:id="0"/>
    <w:p w14:paraId="41C8F396" w14:textId="77777777" w:rsidR="00A14087" w:rsidRPr="00743C1F" w:rsidRDefault="00A14087" w:rsidP="00BD3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E9DA31" w14:textId="77777777" w:rsidR="00EE48CD" w:rsidRPr="00743C1F" w:rsidRDefault="00A14087" w:rsidP="2F91EC34">
      <w:pPr>
        <w:pBdr>
          <w:top w:val="nil"/>
          <w:left w:val="nil"/>
          <w:bottom w:val="nil"/>
          <w:right w:val="nil"/>
          <w:between w:val="nil"/>
        </w:pBdr>
        <w:tabs>
          <w:tab w:val="right" w:pos="9912"/>
        </w:tabs>
        <w:spacing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Назва </w:t>
      </w:r>
      <w:bookmarkStart w:id="1" w:name="_Hlk107670660"/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програми</w:t>
      </w:r>
      <w:r w:rsidRPr="00743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End w:id="1"/>
      <w:r w:rsidR="00EE48CD"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«Реагування на порушення прав людини та посилення правової спроможності громадян та правозахисників в Україні» (скорочена назва «Права людини в дії»</w:t>
      </w:r>
    </w:p>
    <w:p w14:paraId="55DD3877" w14:textId="77777777" w:rsidR="00BD306E" w:rsidRPr="00743C1F" w:rsidRDefault="00A14087" w:rsidP="2F91EC34">
      <w:pPr>
        <w:pBdr>
          <w:top w:val="nil"/>
          <w:left w:val="nil"/>
          <w:bottom w:val="nil"/>
          <w:right w:val="nil"/>
          <w:between w:val="nil"/>
        </w:pBdr>
        <w:tabs>
          <w:tab w:val="right" w:pos="9912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Донор</w:t>
      </w:r>
      <w:r w:rsidR="001C7F96"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  <w:r w:rsidR="001C7F96"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D306E"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D306E" w:rsidRPr="00743C1F">
        <w:rPr>
          <w:rStyle w:val="ac"/>
          <w:rFonts w:ascii="Times New Roman" w:eastAsia="Times New Roman" w:hAnsi="Times New Roman" w:cs="Times New Roman"/>
          <w:b w:val="0"/>
          <w:bCs w:val="0"/>
          <w:sz w:val="24"/>
          <w:szCs w:val="24"/>
          <w:lang w:val="uk-UA"/>
        </w:rPr>
        <w:t>Агентство США з міжнародного розвитку (USAID)</w:t>
      </w:r>
      <w:r w:rsidR="001C7F96" w:rsidRPr="00743C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 </w:t>
      </w:r>
    </w:p>
    <w:p w14:paraId="30281C06" w14:textId="77777777" w:rsidR="001C7F96" w:rsidRPr="00743C1F" w:rsidRDefault="00A14087" w:rsidP="2F91EC34">
      <w:pPr>
        <w:pBdr>
          <w:top w:val="nil"/>
          <w:left w:val="nil"/>
          <w:bottom w:val="nil"/>
          <w:right w:val="nil"/>
          <w:between w:val="nil"/>
        </w:pBdr>
        <w:tabs>
          <w:tab w:val="right" w:pos="991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Організатор конкурсу</w:t>
      </w:r>
      <w:r w:rsidR="001C7F96"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:</w:t>
      </w:r>
      <w:r w:rsidR="001C7F96" w:rsidRPr="00743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C7F96"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Українська Гельсінська Спілка з прав людини</w:t>
      </w:r>
      <w:r w:rsidR="00EE48CD"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C7F96"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неприбуткова, неполітична та незалежна громадська організація, є найбільшою асоціацією правозахисних організацій України, яка об’єднує 27 правозахисних недержавних організацій з метою захисту прав людини </w:t>
      </w:r>
      <w:hyperlink r:id="rId7">
        <w:r w:rsidR="001C7F96" w:rsidRPr="00743C1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/>
          </w:rPr>
          <w:t>https://helsinki.org.ua/richni-zvity-2/</w:t>
        </w:r>
      </w:hyperlink>
    </w:p>
    <w:p w14:paraId="72A3D3EC" w14:textId="28D64395" w:rsidR="00B6646A" w:rsidRPr="00743C1F" w:rsidRDefault="001C7F96" w:rsidP="00643A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Спілка є </w:t>
      </w:r>
      <w:r w:rsidR="00EE48CD"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виконавцем </w:t>
      </w: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програми</w:t>
      </w:r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43C1F">
        <w:rPr>
          <w:rFonts w:ascii="Times New Roman" w:eastAsia="Times New Roman" w:hAnsi="Times New Roman" w:cs="Times New Roman"/>
          <w:kern w:val="36"/>
          <w:sz w:val="24"/>
          <w:szCs w:val="24"/>
          <w:lang w:val="uk-UA"/>
        </w:rPr>
        <w:t xml:space="preserve">«Права людини в дії» </w:t>
      </w:r>
      <w:proofErr w:type="spellStart"/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Human</w:t>
      </w:r>
      <w:proofErr w:type="spellEnd"/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Rights</w:t>
      </w:r>
      <w:proofErr w:type="spellEnd"/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In</w:t>
      </w:r>
      <w:proofErr w:type="spellEnd"/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Action</w:t>
      </w:r>
      <w:proofErr w:type="spellEnd"/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(HRA)</w:t>
      </w:r>
      <w:r w:rsidR="00B6646A"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575E6FCA" w14:textId="77777777" w:rsidR="00C66BBF" w:rsidRPr="00743C1F" w:rsidRDefault="0078794E" w:rsidP="2F91EC34">
      <w:pPr>
        <w:pStyle w:val="a3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контексту</w:t>
      </w:r>
    </w:p>
    <w:p w14:paraId="0D0B940D" w14:textId="3F30A8D3" w:rsidR="00C66BBF" w:rsidRPr="00743C1F" w:rsidRDefault="00E543B5" w:rsidP="00E543B5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3C1F">
        <w:rPr>
          <w:rFonts w:ascii="Times New Roman" w:eastAsia="Times New Roman" w:hAnsi="Times New Roman" w:cs="Times New Roman"/>
          <w:sz w:val="24"/>
          <w:szCs w:val="24"/>
        </w:rPr>
        <w:t>Програма є подовженням чинного гранту як відповідь на виклик, пов’язаний з критичними потребами в захисті прав цивільних осіб в Україні,   поглибленого моніторингу порушень, пов’язаних з наслідками активних  бойових  дій, розширенням окупованих територій, спровокованими збройною агресією Російською Федераціє</w:t>
      </w:r>
      <w:r w:rsidRPr="00743C1F">
        <w:rPr>
          <w:rFonts w:ascii="Times New Roman" w:eastAsia="Times New Roman" w:hAnsi="Times New Roman" w:cs="Times New Roman"/>
          <w:sz w:val="24"/>
          <w:szCs w:val="24"/>
          <w:lang w:val="ru-RU"/>
        </w:rPr>
        <w:t>ю.</w:t>
      </w:r>
    </w:p>
    <w:p w14:paraId="684D40EA" w14:textId="77777777" w:rsidR="00E543B5" w:rsidRPr="00743C1F" w:rsidRDefault="00E543B5" w:rsidP="2F91EC34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A4EE2" w14:textId="77777777" w:rsidR="00C66BBF" w:rsidRPr="00743C1F" w:rsidRDefault="00C66BBF" w:rsidP="2F91EC34">
      <w:pPr>
        <w:pStyle w:val="a3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Пріоритети Програми </w:t>
      </w:r>
    </w:p>
    <w:p w14:paraId="0E27B00A" w14:textId="77777777" w:rsidR="00C66BBF" w:rsidRPr="00743C1F" w:rsidRDefault="00C66BBF" w:rsidP="2F91EC34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DC3CCF" w14:textId="77777777" w:rsidR="00C66BBF" w:rsidRPr="00743C1F" w:rsidRDefault="00C66BBF" w:rsidP="2F91EC34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sz w:val="24"/>
          <w:szCs w:val="24"/>
        </w:rPr>
        <w:t>Програма 2022</w:t>
      </w:r>
      <w:r w:rsidR="00B75282" w:rsidRPr="00743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3C1F">
        <w:rPr>
          <w:rFonts w:ascii="Times New Roman" w:eastAsia="Times New Roman" w:hAnsi="Times New Roman" w:cs="Times New Roman"/>
          <w:sz w:val="24"/>
          <w:szCs w:val="24"/>
        </w:rPr>
        <w:t>-</w:t>
      </w:r>
      <w:r w:rsidR="00B75282" w:rsidRPr="00743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3C1F">
        <w:rPr>
          <w:rFonts w:ascii="Times New Roman" w:eastAsia="Times New Roman" w:hAnsi="Times New Roman" w:cs="Times New Roman"/>
          <w:sz w:val="24"/>
          <w:szCs w:val="24"/>
        </w:rPr>
        <w:t xml:space="preserve">2024 р. передбачає розширення географічного покриття в рамках чотирьох стратегічних пріоритетів:  </w:t>
      </w:r>
    </w:p>
    <w:p w14:paraId="60061E4C" w14:textId="77777777" w:rsidR="00C66BBF" w:rsidRPr="00743C1F" w:rsidRDefault="00C66BBF" w:rsidP="2F91EC34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425"/>
        <w:gridCol w:w="7365"/>
      </w:tblGrid>
      <w:tr w:rsidR="00BD306E" w:rsidRPr="00743C1F" w14:paraId="3101E4D9" w14:textId="77777777" w:rsidTr="2F91EC34">
        <w:tc>
          <w:tcPr>
            <w:tcW w:w="1702" w:type="dxa"/>
          </w:tcPr>
          <w:p w14:paraId="44EAFD9C" w14:textId="77777777" w:rsidR="00BD306E" w:rsidRPr="00743C1F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9841BE" w14:textId="77777777" w:rsidR="00BD306E" w:rsidRPr="00743C1F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5" w:type="dxa"/>
          </w:tcPr>
          <w:p w14:paraId="5F074877" w14:textId="77777777" w:rsidR="00BD306E" w:rsidRPr="00743C1F" w:rsidRDefault="00BD306E" w:rsidP="2F91EC34">
            <w:pPr>
              <w:pStyle w:val="ab"/>
              <w:jc w:val="both"/>
              <w:rPr>
                <w:b/>
                <w:bCs/>
                <w:lang w:val="uk-UA"/>
              </w:rPr>
            </w:pPr>
            <w:r w:rsidRPr="00743C1F">
              <w:rPr>
                <w:rStyle w:val="ac"/>
                <w:b w:val="0"/>
                <w:bCs w:val="0"/>
                <w:lang w:val="uk-UA"/>
              </w:rPr>
              <w:t>Розширення та посилення моніторингу</w:t>
            </w:r>
            <w:r w:rsidRPr="00743C1F">
              <w:rPr>
                <w:b/>
                <w:bCs/>
                <w:lang w:val="uk-UA"/>
              </w:rPr>
              <w:t xml:space="preserve"> </w:t>
            </w:r>
            <w:r w:rsidRPr="00743C1F">
              <w:rPr>
                <w:rStyle w:val="ac"/>
                <w:b w:val="0"/>
                <w:bCs w:val="0"/>
                <w:lang w:val="uk-UA"/>
              </w:rPr>
              <w:t>дотримання та просування прав людини</w:t>
            </w:r>
          </w:p>
        </w:tc>
      </w:tr>
      <w:tr w:rsidR="00BD306E" w:rsidRPr="00743C1F" w14:paraId="717B5A25" w14:textId="77777777" w:rsidTr="007736D4">
        <w:trPr>
          <w:trHeight w:val="132"/>
        </w:trPr>
        <w:tc>
          <w:tcPr>
            <w:tcW w:w="1702" w:type="dxa"/>
          </w:tcPr>
          <w:p w14:paraId="4B94D5A5" w14:textId="77777777" w:rsidR="00BD306E" w:rsidRPr="00743C1F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F999B5" w14:textId="77777777" w:rsidR="00BD306E" w:rsidRPr="00743C1F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5" w:type="dxa"/>
          </w:tcPr>
          <w:p w14:paraId="79A808AB" w14:textId="77777777" w:rsidR="00BD306E" w:rsidRPr="00743C1F" w:rsidRDefault="00BD306E" w:rsidP="2F91EC34">
            <w:pPr>
              <w:pStyle w:val="ab"/>
              <w:jc w:val="both"/>
              <w:rPr>
                <w:b/>
                <w:bCs/>
                <w:lang w:val="uk-UA"/>
              </w:rPr>
            </w:pPr>
            <w:r w:rsidRPr="00743C1F">
              <w:rPr>
                <w:rStyle w:val="ac"/>
                <w:b w:val="0"/>
                <w:bCs w:val="0"/>
                <w:lang w:val="uk-UA"/>
              </w:rPr>
              <w:t>Посилення участі у стратегічних судових справах</w:t>
            </w:r>
          </w:p>
        </w:tc>
      </w:tr>
      <w:tr w:rsidR="00BD306E" w:rsidRPr="00180028" w14:paraId="49FF7734" w14:textId="77777777" w:rsidTr="2F91EC34">
        <w:tc>
          <w:tcPr>
            <w:tcW w:w="1702" w:type="dxa"/>
          </w:tcPr>
          <w:p w14:paraId="3DEEC669" w14:textId="77777777" w:rsidR="00BD306E" w:rsidRPr="00743C1F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CD5EC4" w14:textId="77777777" w:rsidR="00BD306E" w:rsidRPr="00743C1F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5" w:type="dxa"/>
          </w:tcPr>
          <w:p w14:paraId="2C465298" w14:textId="77777777" w:rsidR="00BD306E" w:rsidRPr="00743C1F" w:rsidRDefault="00BD306E" w:rsidP="2F91EC34">
            <w:pPr>
              <w:pStyle w:val="ab"/>
              <w:jc w:val="both"/>
              <w:rPr>
                <w:b/>
                <w:bCs/>
                <w:lang w:val="uk-UA"/>
              </w:rPr>
            </w:pPr>
            <w:r w:rsidRPr="00743C1F">
              <w:rPr>
                <w:rStyle w:val="ac"/>
                <w:b w:val="0"/>
                <w:bCs w:val="0"/>
                <w:lang w:val="uk-UA"/>
              </w:rPr>
              <w:t>Вдосконалення та розширення роботи з підвищення обізнаності та посилення правової спроможності громадян</w:t>
            </w:r>
          </w:p>
        </w:tc>
      </w:tr>
      <w:tr w:rsidR="00BD306E" w:rsidRPr="00743C1F" w14:paraId="3DCD7F26" w14:textId="77777777" w:rsidTr="009C000E">
        <w:trPr>
          <w:trHeight w:val="570"/>
        </w:trPr>
        <w:tc>
          <w:tcPr>
            <w:tcW w:w="1702" w:type="dxa"/>
          </w:tcPr>
          <w:p w14:paraId="3656B9AB" w14:textId="77777777" w:rsidR="00BD306E" w:rsidRPr="00743C1F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98DEE6" w14:textId="77777777" w:rsidR="00BD306E" w:rsidRPr="00743C1F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5" w:type="dxa"/>
          </w:tcPr>
          <w:p w14:paraId="45FB0818" w14:textId="5951BA47" w:rsidR="00BD306E" w:rsidRPr="00743C1F" w:rsidRDefault="00BD306E" w:rsidP="009C000E">
            <w:pPr>
              <w:pStyle w:val="ab"/>
              <w:jc w:val="both"/>
              <w:rPr>
                <w:lang w:val="uk-UA"/>
              </w:rPr>
            </w:pPr>
            <w:r w:rsidRPr="00743C1F">
              <w:rPr>
                <w:rStyle w:val="ac"/>
                <w:b w:val="0"/>
                <w:bCs w:val="0"/>
                <w:lang w:val="uk-UA"/>
              </w:rPr>
              <w:t>Відновлення порушених прав та справедливості для жертв катувань та збройного конфлікту</w:t>
            </w:r>
          </w:p>
        </w:tc>
      </w:tr>
    </w:tbl>
    <w:p w14:paraId="2ECC6A9A" w14:textId="77777777" w:rsidR="009C000E" w:rsidRPr="00743C1F" w:rsidRDefault="009C000E" w:rsidP="009C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FFAAC98" w14:textId="35B57C43" w:rsidR="00643A4D" w:rsidRPr="00743C1F" w:rsidRDefault="00A14087" w:rsidP="009C0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Тривалість </w:t>
      </w:r>
      <w:proofErr w:type="spellStart"/>
      <w:r w:rsidR="00FE23D3"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проєкт</w:t>
      </w:r>
      <w:r w:rsidR="00DE7CFB"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ів</w:t>
      </w:r>
      <w:proofErr w:type="spellEnd"/>
      <w:r w:rsidR="00B75282"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6 місяців.</w:t>
      </w:r>
    </w:p>
    <w:p w14:paraId="3A28775B" w14:textId="77777777" w:rsidR="009C000E" w:rsidRPr="00743C1F" w:rsidRDefault="009C000E" w:rsidP="00DE7CFB">
      <w:pPr>
        <w:pStyle w:val="11"/>
        <w:jc w:val="both"/>
        <w:rPr>
          <w:rFonts w:eastAsia="Times New Roman" w:cs="Times New Roman"/>
          <w:b/>
          <w:bCs/>
          <w:lang w:val="uk-UA" w:eastAsia="ru-RU"/>
        </w:rPr>
      </w:pPr>
    </w:p>
    <w:p w14:paraId="4B99056E" w14:textId="1CC484D4" w:rsidR="00EC40AA" w:rsidRPr="00743C1F" w:rsidRDefault="00A14087" w:rsidP="00DE7CFB">
      <w:pPr>
        <w:pStyle w:val="11"/>
        <w:jc w:val="both"/>
        <w:rPr>
          <w:rFonts w:eastAsia="Calibri"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43C1F">
        <w:rPr>
          <w:rFonts w:eastAsia="Times New Roman" w:cs="Times New Roman"/>
          <w:b/>
          <w:bCs/>
          <w:lang w:val="uk-UA" w:eastAsia="ru-RU"/>
        </w:rPr>
        <w:t>Географічне охоплення</w:t>
      </w:r>
      <w:r w:rsidR="00A402DF" w:rsidRPr="00743C1F">
        <w:rPr>
          <w:rFonts w:eastAsia="Times New Roman" w:cs="Times New Roman"/>
          <w:b/>
          <w:bCs/>
          <w:lang w:val="uk-UA" w:eastAsia="ru-RU"/>
        </w:rPr>
        <w:t>:</w:t>
      </w:r>
      <w:r w:rsidR="00A402DF" w:rsidRPr="00743C1F">
        <w:rPr>
          <w:rFonts w:eastAsia="Times New Roman" w:cs="Times New Roman"/>
          <w:lang w:val="uk-UA" w:eastAsia="ru-RU"/>
        </w:rPr>
        <w:t xml:space="preserve"> </w:t>
      </w:r>
      <w:r w:rsidR="00EC40AA" w:rsidRPr="00743C1F">
        <w:rPr>
          <w:rFonts w:eastAsia="Times New Roman" w:cs="Times New Roman"/>
          <w:lang w:val="uk-UA" w:eastAsia="ru-RU"/>
        </w:rPr>
        <w:t xml:space="preserve"> </w:t>
      </w:r>
      <w:r w:rsidR="00DE7CFB" w:rsidRPr="00743C1F">
        <w:rPr>
          <w:rFonts w:eastAsia="Times New Roman" w:cs="Times New Roman"/>
          <w:lang w:val="uk-UA" w:eastAsia="ru-RU"/>
        </w:rPr>
        <w:t>міжнародний/</w:t>
      </w:r>
      <w:r w:rsidR="00643A4D" w:rsidRPr="00743C1F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>національний/регіональний рівень</w:t>
      </w:r>
    </w:p>
    <w:p w14:paraId="358EBBF3" w14:textId="77777777" w:rsidR="009C000E" w:rsidRPr="00743C1F" w:rsidRDefault="009C000E" w:rsidP="00BD30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2F540A7" w14:textId="77777777" w:rsidR="00180028" w:rsidRDefault="00A14087" w:rsidP="005F27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Бюджет </w:t>
      </w:r>
      <w:r w:rsidR="00643A4D"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загального конкурсу </w:t>
      </w:r>
      <w:r w:rsidR="00A402DF" w:rsidRPr="00743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 </w:t>
      </w:r>
      <w:r w:rsidR="00440906" w:rsidRPr="00B50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$ </w:t>
      </w:r>
      <w:r w:rsidR="00B50199" w:rsidRPr="00B50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1 0</w:t>
      </w:r>
      <w:r w:rsidR="00643A4D" w:rsidRPr="00B50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236480" w:rsidRPr="00B50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743C1F" w:rsidRPr="00B50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440906" w:rsidRPr="00B501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000</w:t>
      </w:r>
      <w:r w:rsidR="00743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800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(очікувана сума </w:t>
      </w:r>
      <w:proofErr w:type="spellStart"/>
      <w:r w:rsidR="001800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проєктних</w:t>
      </w:r>
      <w:proofErr w:type="spellEnd"/>
      <w:r w:rsidR="001800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пропозицій від </w:t>
      </w:r>
    </w:p>
    <w:p w14:paraId="2314DB04" w14:textId="49C2DECD" w:rsidR="00743C1F" w:rsidRPr="002E7041" w:rsidRDefault="00180028" w:rsidP="005F27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$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50 000 до </w:t>
      </w:r>
      <w:r w:rsidRPr="0018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$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300 000</w:t>
      </w:r>
      <w:r w:rsidRPr="001800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E70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7B1056E" w14:textId="77777777" w:rsidR="009C000E" w:rsidRPr="00743C1F" w:rsidRDefault="009C000E" w:rsidP="00BD30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48433FD" w14:textId="127B3C49" w:rsidR="009C000E" w:rsidRPr="00743C1F" w:rsidRDefault="00A14087" w:rsidP="00BD30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Пріоритетні </w:t>
      </w:r>
      <w:r w:rsidR="007736D4"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сфери </w:t>
      </w:r>
      <w:r w:rsidR="009C000E"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конкурсу </w:t>
      </w:r>
      <w:r w:rsidR="00A402DF"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: </w:t>
      </w:r>
    </w:p>
    <w:p w14:paraId="56720236" w14:textId="77777777" w:rsidR="0003176B" w:rsidRPr="00743C1F" w:rsidRDefault="0003176B" w:rsidP="00BD30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97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8147"/>
      </w:tblGrid>
      <w:tr w:rsidR="0003176B" w:rsidRPr="00180028" w14:paraId="2F8BC68C" w14:textId="77777777" w:rsidTr="0003176B">
        <w:trPr>
          <w:trHeight w:val="1388"/>
        </w:trPr>
        <w:tc>
          <w:tcPr>
            <w:tcW w:w="1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671D" w14:textId="77777777" w:rsidR="0003176B" w:rsidRPr="00743C1F" w:rsidRDefault="0003176B" w:rsidP="0003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lang w:val="uk-UA" w:eastAsia="uk-UA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Напрям 1. </w:t>
            </w:r>
          </w:p>
        </w:tc>
        <w:tc>
          <w:tcPr>
            <w:tcW w:w="8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8A098" w14:textId="77777777" w:rsidR="0003176B" w:rsidRPr="00743C1F" w:rsidRDefault="0003176B" w:rsidP="0003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lang w:val="uk-UA" w:eastAsia="uk-UA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Розширення та посилення моніторингу дотримання та просування прав людини (</w:t>
            </w: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val="uk-UA" w:eastAsia="uk-UA"/>
              </w:rPr>
              <w:t xml:space="preserve">моніторинг воєнних злочинів, аналіз відповідних законодавчих ініціатив, судових рішень, національна та міжнародна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val="uk-UA" w:eastAsia="uk-UA"/>
              </w:rPr>
              <w:t>адвокація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val="uk-UA" w:eastAsia="uk-UA"/>
              </w:rPr>
              <w:t xml:space="preserve"> тощо) </w:t>
            </w:r>
          </w:p>
          <w:p w14:paraId="2095D7FD" w14:textId="77777777" w:rsidR="0003176B" w:rsidRPr="00743C1F" w:rsidRDefault="0003176B" w:rsidP="0003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lang w:val="uk-UA" w:eastAsia="uk-UA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 </w:t>
            </w:r>
          </w:p>
        </w:tc>
      </w:tr>
      <w:tr w:rsidR="0003176B" w:rsidRPr="00180028" w14:paraId="1334AD44" w14:textId="77777777" w:rsidTr="0003176B">
        <w:trPr>
          <w:trHeight w:val="1388"/>
        </w:trPr>
        <w:tc>
          <w:tcPr>
            <w:tcW w:w="1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C732" w14:textId="77777777" w:rsidR="0003176B" w:rsidRPr="00743C1F" w:rsidRDefault="0003176B" w:rsidP="0003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lang w:val="uk-UA" w:eastAsia="uk-UA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Напрям 2. </w:t>
            </w:r>
          </w:p>
        </w:tc>
        <w:tc>
          <w:tcPr>
            <w:tcW w:w="8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296F1" w14:textId="71CD4C08" w:rsidR="0003176B" w:rsidRPr="00743C1F" w:rsidRDefault="0003176B" w:rsidP="0003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lang w:val="uk-UA" w:eastAsia="uk-UA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Вдосконалення та розширення роботи з підвищення обізнаності та посилення правової спроможності громадян (</w:t>
            </w: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val="uk-UA" w:eastAsia="uk-UA"/>
              </w:rPr>
              <w:t>підтримка незалежних медіа та експертних платформ, що фокусуються на захисті прав людині та доступі до правосуддя</w:t>
            </w: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 </w:t>
            </w: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val="uk-UA" w:eastAsia="uk-UA"/>
              </w:rPr>
              <w:t>) </w:t>
            </w:r>
          </w:p>
          <w:p w14:paraId="78E563DA" w14:textId="77777777" w:rsidR="0003176B" w:rsidRPr="00743C1F" w:rsidRDefault="0003176B" w:rsidP="0003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lang w:val="uk-UA" w:eastAsia="uk-UA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 </w:t>
            </w:r>
          </w:p>
        </w:tc>
      </w:tr>
      <w:tr w:rsidR="0003176B" w:rsidRPr="00180028" w14:paraId="555F84FE" w14:textId="77777777" w:rsidTr="0003176B">
        <w:trPr>
          <w:trHeight w:val="1110"/>
        </w:trPr>
        <w:tc>
          <w:tcPr>
            <w:tcW w:w="1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C1F9" w14:textId="77777777" w:rsidR="0003176B" w:rsidRPr="00743C1F" w:rsidRDefault="0003176B" w:rsidP="0003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lang w:val="uk-UA" w:eastAsia="uk-UA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Напрям 3. </w:t>
            </w:r>
          </w:p>
        </w:tc>
        <w:tc>
          <w:tcPr>
            <w:tcW w:w="8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571B" w14:textId="5950B33C" w:rsidR="0003176B" w:rsidRPr="00743C1F" w:rsidRDefault="0003176B" w:rsidP="00031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lang w:val="uk-UA" w:eastAsia="uk-UA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Посилення спроможності місцевих громад, постраждалих від конфлікту, у документуванні воєнних злочинів та оцінці завданої шкоди </w:t>
            </w: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val="uk-UA" w:eastAsia="uk-UA"/>
              </w:rPr>
              <w:t>(співпраця місцевих НУО, органів влади, правоохоронних органів та експертів) </w:t>
            </w:r>
          </w:p>
        </w:tc>
      </w:tr>
    </w:tbl>
    <w:p w14:paraId="4FE86C5C" w14:textId="43A4D0E5" w:rsidR="00643A4D" w:rsidRPr="00743C1F" w:rsidRDefault="00A14087" w:rsidP="00BD30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643A4D" w:rsidRPr="00743C1F" w14:paraId="0F6EA55C" w14:textId="77777777" w:rsidTr="009C000E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2B3DB" w14:textId="77777777" w:rsidR="00DE7CFB" w:rsidRPr="00743C1F" w:rsidRDefault="00DE7CFB" w:rsidP="00643A4D">
            <w:pPr>
              <w:contextualSpacing/>
              <w:jc w:val="both"/>
              <w:rPr>
                <w:rStyle w:val="ac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9747A9" w14:textId="77777777" w:rsidR="00643A4D" w:rsidRPr="00743C1F" w:rsidRDefault="00643A4D" w:rsidP="009C000E">
            <w:pPr>
              <w:contextualSpacing/>
              <w:jc w:val="center"/>
              <w:rPr>
                <w:rStyle w:val="ac"/>
                <w:rFonts w:ascii="Times New Roman" w:hAnsi="Times New Roman" w:cs="Times New Roman"/>
                <w:color w:val="4472C4" w:themeColor="accent1"/>
                <w:sz w:val="24"/>
                <w:szCs w:val="24"/>
                <w:lang w:val="uk-UA"/>
              </w:rPr>
            </w:pPr>
            <w:r w:rsidRPr="00743C1F">
              <w:rPr>
                <w:rStyle w:val="ac"/>
                <w:rFonts w:ascii="Times New Roman" w:hAnsi="Times New Roman" w:cs="Times New Roman"/>
                <w:color w:val="4472C4" w:themeColor="accent1"/>
                <w:sz w:val="24"/>
                <w:szCs w:val="24"/>
                <w:lang w:val="uk-UA"/>
              </w:rPr>
              <w:t>Напрям 1. Р</w:t>
            </w:r>
            <w:proofErr w:type="spellStart"/>
            <w:r w:rsidRPr="00743C1F">
              <w:rPr>
                <w:rStyle w:val="ac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озширення</w:t>
            </w:r>
            <w:proofErr w:type="spellEnd"/>
            <w:r w:rsidRPr="00743C1F">
              <w:rPr>
                <w:rStyle w:val="ac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та </w:t>
            </w:r>
            <w:proofErr w:type="spellStart"/>
            <w:r w:rsidRPr="00743C1F">
              <w:rPr>
                <w:rStyle w:val="ac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посилення</w:t>
            </w:r>
            <w:proofErr w:type="spellEnd"/>
            <w:r w:rsidRPr="00743C1F">
              <w:rPr>
                <w:rStyle w:val="ac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3C1F">
              <w:rPr>
                <w:rStyle w:val="ac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моніторингу</w:t>
            </w:r>
            <w:proofErr w:type="spellEnd"/>
            <w:r w:rsidRPr="00743C1F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3C1F">
              <w:rPr>
                <w:rStyle w:val="ac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дотримання</w:t>
            </w:r>
            <w:proofErr w:type="spellEnd"/>
            <w:r w:rsidRPr="00743C1F">
              <w:rPr>
                <w:rStyle w:val="ac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та </w:t>
            </w:r>
            <w:proofErr w:type="spellStart"/>
            <w:r w:rsidRPr="00743C1F">
              <w:rPr>
                <w:rStyle w:val="ac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просування</w:t>
            </w:r>
            <w:proofErr w:type="spellEnd"/>
            <w:r w:rsidRPr="00743C1F">
              <w:rPr>
                <w:rStyle w:val="ac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прав </w:t>
            </w:r>
            <w:proofErr w:type="spellStart"/>
            <w:r w:rsidRPr="00743C1F">
              <w:rPr>
                <w:rStyle w:val="ac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людини</w:t>
            </w:r>
            <w:proofErr w:type="spellEnd"/>
            <w:r w:rsidR="007736D4" w:rsidRPr="00743C1F">
              <w:rPr>
                <w:rStyle w:val="ac"/>
                <w:rFonts w:ascii="Times New Roman" w:hAnsi="Times New Roman" w:cs="Times New Roman"/>
                <w:color w:val="4472C4" w:themeColor="accent1"/>
                <w:sz w:val="24"/>
                <w:szCs w:val="24"/>
                <w:lang w:val="uk-UA"/>
              </w:rPr>
              <w:t xml:space="preserve"> (моніторинг воєнних злочинів)</w:t>
            </w:r>
          </w:p>
          <w:p w14:paraId="5BBD7CEE" w14:textId="04EE91F9" w:rsidR="009C000E" w:rsidRPr="00743C1F" w:rsidRDefault="009C000E" w:rsidP="00643A4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43A4D" w:rsidRPr="00180028" w14:paraId="64537F3F" w14:textId="77777777" w:rsidTr="009C000E">
        <w:tc>
          <w:tcPr>
            <w:tcW w:w="846" w:type="dxa"/>
            <w:tcBorders>
              <w:top w:val="single" w:sz="4" w:space="0" w:color="auto"/>
            </w:tcBorders>
          </w:tcPr>
          <w:p w14:paraId="22CA674E" w14:textId="2F1F35AB" w:rsidR="00643A4D" w:rsidRPr="00743C1F" w:rsidRDefault="00643A4D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1.1.</w:t>
            </w: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57E639E9" w14:textId="77777777" w:rsidR="00643A4D" w:rsidRPr="00743C1F" w:rsidRDefault="00643A4D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Цільова група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 </w:t>
            </w:r>
          </w:p>
          <w:p w14:paraId="2E4D3E15" w14:textId="43E6FE1B" w:rsidR="00643A4D" w:rsidRPr="00743C1F" w:rsidRDefault="00643A4D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жертви воєнних злочинів, злочинів проти людяності та інших серйозних порушень міжнародного гуманітарного права, вчинених збройними силами РФ, родичі жертв, свідки цих злочинів</w:t>
            </w:r>
          </w:p>
        </w:tc>
      </w:tr>
      <w:tr w:rsidR="00643A4D" w:rsidRPr="00180028" w14:paraId="281779DC" w14:textId="77777777" w:rsidTr="009C000E">
        <w:tc>
          <w:tcPr>
            <w:tcW w:w="846" w:type="dxa"/>
            <w:tcBorders>
              <w:bottom w:val="single" w:sz="4" w:space="0" w:color="auto"/>
            </w:tcBorders>
          </w:tcPr>
          <w:p w14:paraId="724588FF" w14:textId="1DB424AE" w:rsidR="00643A4D" w:rsidRPr="00743C1F" w:rsidRDefault="00643A4D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1C3E9644" w14:textId="5CFBD353" w:rsidR="00643A4D" w:rsidRPr="00743C1F" w:rsidRDefault="00643A4D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Партнери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експертні кола, судді, адвокати, працівники ОДА (цивільні та військові), органи місцевого самоврядування, поліція, прокуратура, СБУ, ДСНС, правозахисники та журналісти в Україні та за її межами, співробітники міжнародних організацій.</w:t>
            </w:r>
          </w:p>
        </w:tc>
      </w:tr>
      <w:tr w:rsidR="00643A4D" w:rsidRPr="00743C1F" w14:paraId="1F35D0DC" w14:textId="77777777" w:rsidTr="009C000E">
        <w:tc>
          <w:tcPr>
            <w:tcW w:w="846" w:type="dxa"/>
            <w:tcBorders>
              <w:bottom w:val="single" w:sz="4" w:space="0" w:color="auto"/>
            </w:tcBorders>
          </w:tcPr>
          <w:p w14:paraId="27AAA785" w14:textId="35221555" w:rsidR="00643A4D" w:rsidRPr="00743C1F" w:rsidRDefault="00643A4D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1.3.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00D1E5E3" w14:textId="68274331" w:rsidR="007736D4" w:rsidRPr="00743C1F" w:rsidRDefault="007736D4" w:rsidP="00643A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Пріоритетні активност</w:t>
            </w:r>
            <w:r w:rsidR="009C000E"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</w:t>
            </w:r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: </w:t>
            </w:r>
          </w:p>
          <w:p w14:paraId="5849175C" w14:textId="6E104271" w:rsidR="00643A4D" w:rsidRPr="00743C1F" w:rsidRDefault="00643A4D" w:rsidP="00643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Документування воєнних злочинів, злочинів проти людяності та інших серйозних порушень міжнародного гуманітарного права, вчинених в Україні як з відкритих джерел, так і через прямі контакти з потерпілими та свідками цих злочинів, в тому числі в партнерстві з   правоохоронними органами, проведення відео- та фотофіксації злочинів, опитування потерпілих та свідків.</w:t>
            </w:r>
          </w:p>
          <w:p w14:paraId="071211E5" w14:textId="77777777" w:rsidR="00643A4D" w:rsidRPr="00743C1F" w:rsidRDefault="00643A4D" w:rsidP="00643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454021" w14:textId="1384AAC6" w:rsidR="00643A4D" w:rsidRPr="00743C1F" w:rsidRDefault="00643A4D" w:rsidP="00643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Систематизація зібраної інформації у базі даних, проведення попередньої кваліфікації вчинених злочинів відповідно до Римського статуту Міжнародного кримінального суду за наступними категоріями. </w:t>
            </w:r>
          </w:p>
          <w:p w14:paraId="1E46B208" w14:textId="77777777" w:rsidR="00643A4D" w:rsidRPr="00743C1F" w:rsidRDefault="00643A4D" w:rsidP="00643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928A4FD" w14:textId="77777777" w:rsidR="00643A4D" w:rsidRPr="00743C1F" w:rsidRDefault="00643A4D" w:rsidP="00643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ІТ-підтримка та технічний супровід бази, захист персональних даних. </w:t>
            </w:r>
          </w:p>
          <w:p w14:paraId="474E4DB5" w14:textId="77777777" w:rsidR="00643A4D" w:rsidRPr="00743C1F" w:rsidRDefault="00643A4D" w:rsidP="00643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20803C1" w14:textId="77777777" w:rsidR="00643A4D" w:rsidRPr="00743C1F" w:rsidRDefault="00643A4D" w:rsidP="0064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4.Організація навчання та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менторинг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документаторів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 розробка інструктивного матеріалу для користувачів бази, контроль за якістю введених даних.</w:t>
            </w:r>
          </w:p>
          <w:p w14:paraId="2884C547" w14:textId="77777777" w:rsidR="00643A4D" w:rsidRPr="00743C1F" w:rsidRDefault="00643A4D" w:rsidP="0064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0F72F" w14:textId="77777777" w:rsidR="00643A4D" w:rsidRPr="00743C1F" w:rsidRDefault="00643A4D" w:rsidP="0064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 Розробка та розповсюдження тематичних звітів щодо різних видів міжнародних злочинів (геноцид, злочини проти людяності, воєнні злочини) на національному та регіональному рівнях (наприклад : насильницькі зникнення; масове насильницьке вивезення людей до Росії; н</w:t>
            </w: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апад на склад гуманітарної допомоги, гуманітарний конвой, гуманітарну місію чи коридор та інші) 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3C677701" w14:textId="77777777" w:rsidR="00643A4D" w:rsidRPr="00743C1F" w:rsidRDefault="00643A4D" w:rsidP="0064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D2C4A" w14:textId="77777777" w:rsidR="00643A4D" w:rsidRPr="00743C1F" w:rsidRDefault="00643A4D" w:rsidP="0064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6. Надання правової допомоги жертвам воєнних злочинів, злочинів проти людяності та інших серйозних порушень міжнародного гуманітарного права в рамках національної правоохоронної системи.</w:t>
            </w:r>
          </w:p>
          <w:p w14:paraId="73A9054C" w14:textId="77777777" w:rsidR="00643A4D" w:rsidRPr="00743C1F" w:rsidRDefault="00643A4D" w:rsidP="00643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63D1C76" w14:textId="77777777" w:rsidR="00643A4D" w:rsidRPr="00743C1F" w:rsidRDefault="00643A4D" w:rsidP="00643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 Ініціація та ведення стратегічних справ в міжнародних несудових та судових інституціях (комітети ООН з прав людини та проти катувань, Робоча група з питань насильницьких зникнень, Міжнародний суд ООН, Міжнародний кримінальний суд та інші) для сприяння притягненню до відповідальності осіб, які вчинили міжнародні злочини.</w:t>
            </w:r>
          </w:p>
          <w:p w14:paraId="6179AB6A" w14:textId="77777777" w:rsidR="00643A4D" w:rsidRPr="00743C1F" w:rsidRDefault="00643A4D" w:rsidP="00643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3B1E577" w14:textId="77777777" w:rsidR="00643A4D" w:rsidRPr="00743C1F" w:rsidRDefault="00643A4D" w:rsidP="00643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8. Проведення інформаційно-просвітницької кампанії в Україні, за кордоном щодо воєнних злочинів, злочинів проти людяності та інших серйозних порушень міжнародного гуманітарного права, через інформаційні ресурси (власні сайти та сторінки в соціальних мережах 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Facebook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Twitter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Telegram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YouTube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різними мовами через проведення та розповсюдження інтерв'ю з жертвами та свідками цих злочинів, розробки та розповсюдження відео та іншими засобами комунікації.</w:t>
            </w:r>
          </w:p>
          <w:p w14:paraId="2ABCC58C" w14:textId="77777777" w:rsidR="00643A4D" w:rsidRPr="00743C1F" w:rsidRDefault="00643A4D" w:rsidP="00643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9731694" w14:textId="639818C9" w:rsidR="00643A4D" w:rsidRPr="00743C1F" w:rsidRDefault="00643A4D" w:rsidP="00643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9.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Адвокаційна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діяльність на національному та міжнародному рівні  (МКС, ООН, ЄС, РЄ, ОБСЄ) </w:t>
            </w:r>
          </w:p>
        </w:tc>
      </w:tr>
      <w:tr w:rsidR="007736D4" w:rsidRPr="00180028" w14:paraId="2642DB57" w14:textId="77777777" w:rsidTr="009C000E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CE373" w14:textId="77777777" w:rsidR="00DE7CFB" w:rsidRPr="00743C1F" w:rsidRDefault="00DE7CFB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70F4DF8" w14:textId="77777777" w:rsidR="009C000E" w:rsidRPr="00743C1F" w:rsidRDefault="009C000E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780E0F4" w14:textId="68663065" w:rsidR="007736D4" w:rsidRPr="00743C1F" w:rsidRDefault="007736D4" w:rsidP="009C000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uk-UA" w:eastAsia="ru-RU"/>
              </w:rPr>
              <w:t xml:space="preserve">Напрям 2 </w:t>
            </w:r>
            <w:r w:rsidRPr="00743C1F">
              <w:rPr>
                <w:rStyle w:val="ac"/>
                <w:rFonts w:ascii="Times New Roman" w:hAnsi="Times New Roman" w:cs="Times New Roman"/>
                <w:color w:val="4472C4" w:themeColor="accent1"/>
                <w:sz w:val="24"/>
                <w:szCs w:val="24"/>
                <w:lang w:val="uk-UA"/>
              </w:rPr>
              <w:t>Вдосконалення та розширення роботи з підвищення обізнаності та посилення правової спроможності громадян (медіа)</w:t>
            </w:r>
          </w:p>
        </w:tc>
      </w:tr>
      <w:tr w:rsidR="007736D4" w:rsidRPr="00180028" w14:paraId="249623E2" w14:textId="77777777" w:rsidTr="009C000E">
        <w:tc>
          <w:tcPr>
            <w:tcW w:w="846" w:type="dxa"/>
            <w:tcBorders>
              <w:top w:val="single" w:sz="4" w:space="0" w:color="auto"/>
            </w:tcBorders>
          </w:tcPr>
          <w:p w14:paraId="6DE56541" w14:textId="3237A954" w:rsidR="007736D4" w:rsidRPr="00743C1F" w:rsidRDefault="007736D4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2.1.</w:t>
            </w: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1E434FF7" w14:textId="4130389E" w:rsidR="007736D4" w:rsidRPr="00743C1F" w:rsidRDefault="007736D4" w:rsidP="007736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Цільова група: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Іноземні  партнери  — медіа, експертні установи, аналітичні центри, </w:t>
            </w:r>
            <w:r w:rsidRPr="00743C1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uk-UA" w:eastAsia="ru-RU"/>
              </w:rPr>
              <w:t xml:space="preserve">дипломатичні місії, лідери думок 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інші зацікавлені особи та організації.</w:t>
            </w:r>
          </w:p>
          <w:p w14:paraId="511EC5C6" w14:textId="2BEF8162" w:rsidR="007736D4" w:rsidRPr="00743C1F" w:rsidRDefault="007736D4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736D4" w:rsidRPr="00743C1F" w14:paraId="1D19621B" w14:textId="77777777" w:rsidTr="00722241">
        <w:tc>
          <w:tcPr>
            <w:tcW w:w="846" w:type="dxa"/>
            <w:tcBorders>
              <w:bottom w:val="single" w:sz="4" w:space="0" w:color="auto"/>
            </w:tcBorders>
          </w:tcPr>
          <w:p w14:paraId="2EEB5E9C" w14:textId="1453757A" w:rsidR="007736D4" w:rsidRPr="00743C1F" w:rsidRDefault="007736D4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2.2.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745BE32E" w14:textId="77777777" w:rsidR="007736D4" w:rsidRPr="00743C1F" w:rsidRDefault="007736D4" w:rsidP="009C000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Партнери: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C000E"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ЗМІ, 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правозахисні організації</w:t>
            </w:r>
            <w:r w:rsidR="009C000E"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106F68EF" w14:textId="52C75B5B" w:rsidR="009C000E" w:rsidRPr="00743C1F" w:rsidRDefault="009C000E" w:rsidP="009C000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736D4" w:rsidRPr="00180028" w14:paraId="00A364F1" w14:textId="77777777" w:rsidTr="00722241">
        <w:tc>
          <w:tcPr>
            <w:tcW w:w="846" w:type="dxa"/>
            <w:tcBorders>
              <w:bottom w:val="single" w:sz="4" w:space="0" w:color="auto"/>
            </w:tcBorders>
          </w:tcPr>
          <w:p w14:paraId="71D57202" w14:textId="3CF0672E" w:rsidR="007736D4" w:rsidRPr="00743C1F" w:rsidRDefault="007736D4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2.3.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7BB1B0C5" w14:textId="2F83F392" w:rsidR="007736D4" w:rsidRPr="00743C1F" w:rsidRDefault="007736D4" w:rsidP="007736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Пріоритетні активност</w:t>
            </w:r>
            <w:r w:rsidR="009C000E"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</w:t>
            </w:r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: </w:t>
            </w:r>
          </w:p>
          <w:p w14:paraId="68FD7BF8" w14:textId="77777777" w:rsidR="007736D4" w:rsidRPr="00743C1F" w:rsidRDefault="007736D4" w:rsidP="007736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7DE560" w14:textId="2AC52A88" w:rsidR="007736D4" w:rsidRPr="00743C1F" w:rsidRDefault="007736D4" w:rsidP="00DE7CFB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</w:rPr>
              <w:t>Збір та поширення інформації про передумови, перебіг та наслідки війни Росії проти України, зокрема з т. з. прав людини та перехідного правосуддя.</w:t>
            </w:r>
          </w:p>
          <w:p w14:paraId="07D5841F" w14:textId="77777777" w:rsidR="007736D4" w:rsidRPr="00743C1F" w:rsidRDefault="007736D4" w:rsidP="00DE7CFB">
            <w:pPr>
              <w:pStyle w:val="a3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Регулярне інформування шляхом поширення інформації українською та англійською мовою на відкритих ресурсах (сайт, ФБ, Твіттер, телеграм).</w:t>
            </w:r>
          </w:p>
          <w:p w14:paraId="253A507C" w14:textId="77777777" w:rsidR="007736D4" w:rsidRPr="00743C1F" w:rsidRDefault="007736D4" w:rsidP="00DE7CFB">
            <w:pPr>
              <w:pStyle w:val="a3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Підготовка статей та інтерв’ю з релевантними спікерами  щодо: </w:t>
            </w:r>
            <w:r w:rsidRPr="00743C1F">
              <w:rPr>
                <w:rFonts w:ascii="Times New Roman" w:hAnsi="Times New Roman" w:cs="Times New Roman"/>
                <w:sz w:val="24"/>
                <w:szCs w:val="24"/>
              </w:rPr>
              <w:t>Розслідування та покарання за злочин геноциду, Особливості розслідувань Міжнародним Кримінальним Судом, Створення спеціального трибуналу,  Огляд міжнародних документів.</w:t>
            </w:r>
          </w:p>
          <w:p w14:paraId="1F634466" w14:textId="53C07EAC" w:rsidR="00DE7CFB" w:rsidRPr="00743C1F" w:rsidRDefault="00DE7CFB" w:rsidP="00DE7CFB">
            <w:pPr>
              <w:pStyle w:val="a3"/>
              <w:numPr>
                <w:ilvl w:val="0"/>
                <w:numId w:val="47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43C1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uk-UA"/>
              </w:rPr>
              <w:t xml:space="preserve">Поширення інформації про  створення спеціального Трибуналу щодо злочину агресії Російської Федерації проти України, аналіз та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uk-UA"/>
              </w:rPr>
              <w:t>розʼяснення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uk-UA"/>
              </w:rPr>
              <w:t xml:space="preserve"> його ролі для перехідного правосуддя.</w:t>
            </w:r>
          </w:p>
          <w:p w14:paraId="1B32C942" w14:textId="150795E3" w:rsidR="00DE7CFB" w:rsidRPr="00743C1F" w:rsidRDefault="00DE7CFB" w:rsidP="00DE7CFB">
            <w:pPr>
              <w:pStyle w:val="a3"/>
              <w:numPr>
                <w:ilvl w:val="0"/>
                <w:numId w:val="47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43C1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uk-UA"/>
              </w:rPr>
              <w:t>Висвітлення питання міжнародних санкцій, що накладаються на РФ за системні порушення прав людини та міжнародного права під час агресії проти України.</w:t>
            </w:r>
          </w:p>
          <w:p w14:paraId="492E79DE" w14:textId="77777777" w:rsidR="007736D4" w:rsidRPr="00743C1F" w:rsidRDefault="007736D4" w:rsidP="00DE7CFB">
            <w:pPr>
              <w:pStyle w:val="a3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</w:rPr>
              <w:t>Розсилка англомовних дайджестів іноземним медіа та аналітичним центрам через базу контактів.</w:t>
            </w:r>
          </w:p>
          <w:p w14:paraId="170604CE" w14:textId="77777777" w:rsidR="007736D4" w:rsidRPr="00743C1F" w:rsidRDefault="007736D4" w:rsidP="00DE7CFB">
            <w:pPr>
              <w:pStyle w:val="a3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Реагування на оперативні події, пов’язані зі збройною агресією РФ проти України (шляхом поширення задокументованої інформації про порушення прав людини та воєнні злочини у зв’язку зі збройною агресією).</w:t>
            </w:r>
          </w:p>
          <w:p w14:paraId="782424E5" w14:textId="77777777" w:rsidR="00DE7CFB" w:rsidRPr="00743C1F" w:rsidRDefault="00DE7CFB" w:rsidP="00DE7CFB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Georgia" w:hAnsi="Times New Roman" w:cs="Times New Roman"/>
                <w:sz w:val="24"/>
                <w:szCs w:val="24"/>
              </w:rPr>
              <w:t>Забезпечувати присутність в публічному дискурсі теми викрадених та депортованих  українців, злочинної тактики депортації у РФ.</w:t>
            </w:r>
          </w:p>
          <w:p w14:paraId="541D03B5" w14:textId="54A081EF" w:rsidR="00DE7CFB" w:rsidRPr="00743C1F" w:rsidRDefault="00DE7CFB" w:rsidP="00DE7CFB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Регулярне висвітлення  в публічному дискурсі теми депортованих українців і наголошення  на необхідності чинити </w:t>
            </w:r>
            <w:proofErr w:type="spellStart"/>
            <w:r w:rsidRPr="00743C1F">
              <w:rPr>
                <w:rFonts w:ascii="Times New Roman" w:eastAsia="Georgia" w:hAnsi="Times New Roman" w:cs="Times New Roman"/>
                <w:sz w:val="24"/>
                <w:szCs w:val="24"/>
              </w:rPr>
              <w:t>санкційний</w:t>
            </w:r>
            <w:proofErr w:type="spellEnd"/>
            <w:r w:rsidRPr="00743C1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, економічний та політичний тиск на РФ </w:t>
            </w:r>
          </w:p>
          <w:p w14:paraId="5CF30D6E" w14:textId="77777777" w:rsidR="007736D4" w:rsidRPr="00743C1F" w:rsidRDefault="007736D4" w:rsidP="00DE7CFB">
            <w:pPr>
              <w:pStyle w:val="a3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</w:rPr>
              <w:t>Налагодження діяльності з  іноземними медіа та  оперативне залучення експертів для надання коментарів на запит іноземних медіа та аналітичних центрів.</w:t>
            </w:r>
          </w:p>
          <w:p w14:paraId="73571072" w14:textId="77777777" w:rsidR="007736D4" w:rsidRPr="00743C1F" w:rsidRDefault="007736D4" w:rsidP="00DE7CFB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Систематизація інформації та посилення спроможності органів державної влади щодо збору інформації та звільнення захоплених осіб.</w:t>
            </w:r>
          </w:p>
          <w:p w14:paraId="6A7E0C1B" w14:textId="77777777" w:rsidR="007736D4" w:rsidRPr="00743C1F" w:rsidRDefault="007736D4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736D4" w:rsidRPr="00743C1F" w14:paraId="206C2C48" w14:textId="77777777" w:rsidTr="00722241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1C633" w14:textId="77777777" w:rsidR="00DE7CFB" w:rsidRPr="00743C1F" w:rsidRDefault="00DE7CFB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9E0CED8" w14:textId="72F80012" w:rsidR="007736D4" w:rsidRPr="00743C1F" w:rsidRDefault="007736D4" w:rsidP="007222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uk-UA" w:eastAsia="ru-RU"/>
              </w:rPr>
              <w:t xml:space="preserve">Напрям 3 </w:t>
            </w:r>
            <w:r w:rsidRPr="00743C1F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uk-U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Посилення спроможності місцевих громад півдня та сходу України в документуванні воєнних злочинів РФ (громади)</w:t>
            </w:r>
          </w:p>
        </w:tc>
      </w:tr>
      <w:tr w:rsidR="007736D4" w:rsidRPr="00743C1F" w14:paraId="470129AA" w14:textId="77777777" w:rsidTr="00722241">
        <w:tc>
          <w:tcPr>
            <w:tcW w:w="846" w:type="dxa"/>
            <w:tcBorders>
              <w:top w:val="single" w:sz="4" w:space="0" w:color="auto"/>
            </w:tcBorders>
          </w:tcPr>
          <w:p w14:paraId="70EB8AA3" w14:textId="2695200E" w:rsidR="007736D4" w:rsidRPr="00743C1F" w:rsidRDefault="007736D4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3.1.</w:t>
            </w:r>
          </w:p>
        </w:tc>
        <w:tc>
          <w:tcPr>
            <w:tcW w:w="8499" w:type="dxa"/>
            <w:tcBorders>
              <w:top w:val="single" w:sz="4" w:space="0" w:color="auto"/>
            </w:tcBorders>
          </w:tcPr>
          <w:p w14:paraId="7EB36041" w14:textId="77777777" w:rsidR="007736D4" w:rsidRPr="00743C1F" w:rsidRDefault="007736D4" w:rsidP="007736D4">
            <w:pPr>
              <w:pStyle w:val="ae"/>
              <w:tabs>
                <w:tab w:val="left" w:pos="4111"/>
                <w:tab w:val="left" w:pos="6663"/>
              </w:tabs>
              <w:spacing w:before="0"/>
              <w:rPr>
                <w:rFonts w:ascii="Times New Roman" w:eastAsia="Calibri" w:hAnsi="Times New Roman" w:cs="Times New Roman"/>
                <w:lang w:val="uk-UA"/>
              </w:rPr>
            </w:pPr>
            <w:r w:rsidRPr="00743C1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Цільова група</w:t>
            </w:r>
            <w:r w:rsidRPr="00743C1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: </w:t>
            </w:r>
            <w:r w:rsidRPr="00743C1F">
              <w:rPr>
                <w:rFonts w:ascii="Times New Roman" w:hAnsi="Times New Roman" w:cs="Times New Roman"/>
                <w:lang w:val="uk-UA"/>
              </w:rPr>
              <w:t>правозахисні громадські організації, регіональні медіа, представники органів місцевого  самоврядування, правоохоронці.</w:t>
            </w:r>
          </w:p>
          <w:p w14:paraId="09D18C54" w14:textId="77777777" w:rsidR="007736D4" w:rsidRPr="00743C1F" w:rsidRDefault="007736D4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736D4" w:rsidRPr="00743C1F" w14:paraId="6216BE25" w14:textId="77777777" w:rsidTr="00FE73BD">
        <w:tc>
          <w:tcPr>
            <w:tcW w:w="846" w:type="dxa"/>
          </w:tcPr>
          <w:p w14:paraId="12A82C9D" w14:textId="65BAAB7B" w:rsidR="007736D4" w:rsidRPr="00743C1F" w:rsidRDefault="007736D4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3.2.</w:t>
            </w:r>
          </w:p>
        </w:tc>
        <w:tc>
          <w:tcPr>
            <w:tcW w:w="8499" w:type="dxa"/>
          </w:tcPr>
          <w:p w14:paraId="6D615DD8" w14:textId="77777777" w:rsidR="007736D4" w:rsidRPr="00743C1F" w:rsidRDefault="007736D4" w:rsidP="007736D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Партнери: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правозахисні організації, громади, що здійснюють документування воєнних злочинів в Україні.</w:t>
            </w:r>
          </w:p>
          <w:p w14:paraId="78D6C37E" w14:textId="77777777" w:rsidR="007736D4" w:rsidRPr="00743C1F" w:rsidRDefault="007736D4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736D4" w:rsidRPr="00743C1F" w14:paraId="2EE7F543" w14:textId="77777777" w:rsidTr="00816293">
        <w:tc>
          <w:tcPr>
            <w:tcW w:w="846" w:type="dxa"/>
          </w:tcPr>
          <w:p w14:paraId="1D897792" w14:textId="26E1FC9C" w:rsidR="007736D4" w:rsidRPr="00743C1F" w:rsidRDefault="007736D4" w:rsidP="00643A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3.3.</w:t>
            </w:r>
          </w:p>
        </w:tc>
        <w:tc>
          <w:tcPr>
            <w:tcW w:w="8499" w:type="dxa"/>
          </w:tcPr>
          <w:p w14:paraId="20AA92F2" w14:textId="4AD4086F" w:rsidR="007736D4" w:rsidRPr="00743C1F" w:rsidRDefault="007736D4" w:rsidP="007736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Пріоритетні сфери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активностей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: </w:t>
            </w:r>
          </w:p>
          <w:p w14:paraId="35F9D9EC" w14:textId="563DD966" w:rsidR="007736D4" w:rsidRPr="00743C1F" w:rsidRDefault="007736D4" w:rsidP="007736D4">
            <w:pPr>
              <w:pStyle w:val="11"/>
              <w:numPr>
                <w:ilvl w:val="0"/>
                <w:numId w:val="52"/>
              </w:numPr>
              <w:jc w:val="both"/>
              <w:rPr>
                <w:rFonts w:eastAsia="Calibri" w:cs="Times New Roman"/>
                <w:lang w:val="uk-U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43C1F">
              <w:rPr>
                <w:rFonts w:cs="Times New Roman"/>
                <w:lang w:val="uk-U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Посилення спроможності місцевих громад півдня та сходу України в документуванні воєнних злочинів РФ, надання   правової  та технічної підтримки щодо застосування норм міжнародного гуманітарного права.</w:t>
            </w:r>
          </w:p>
          <w:p w14:paraId="616212E0" w14:textId="10F094B6" w:rsidR="007736D4" w:rsidRPr="00743C1F" w:rsidRDefault="007736D4" w:rsidP="007736D4">
            <w:pPr>
              <w:pStyle w:val="11"/>
              <w:numPr>
                <w:ilvl w:val="0"/>
                <w:numId w:val="52"/>
              </w:numPr>
              <w:jc w:val="both"/>
              <w:rPr>
                <w:rFonts w:eastAsia="Calibri" w:cs="Times New Roman"/>
                <w:lang w:val="uk-U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43C1F">
              <w:rPr>
                <w:rFonts w:cs="Times New Roman"/>
                <w:lang w:val="uk-U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Створення та підтримка майданчиків для обговорення викликів у фіксації завданої шкоди для місцевих активістів, органів місцевого самоврядування (ОМС), органів розслідування та інших зацікавлених сторін.</w:t>
            </w:r>
          </w:p>
          <w:p w14:paraId="2B0CA5EB" w14:textId="107FA771" w:rsidR="007736D4" w:rsidRPr="00743C1F" w:rsidRDefault="007736D4" w:rsidP="007736D4">
            <w:pPr>
              <w:pStyle w:val="ae"/>
              <w:numPr>
                <w:ilvl w:val="0"/>
                <w:numId w:val="52"/>
              </w:numPr>
              <w:tabs>
                <w:tab w:val="left" w:pos="4111"/>
                <w:tab w:val="left" w:pos="6663"/>
              </w:tabs>
              <w:spacing w:before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Експертна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підтримка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документаторів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щодо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використання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формальних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неформальних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міжнародних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правозахисних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інструментів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зокрема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комунікації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установами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ООН). </w:t>
            </w:r>
          </w:p>
          <w:p w14:paraId="5C39FE81" w14:textId="48E30D7A" w:rsidR="007736D4" w:rsidRPr="00743C1F" w:rsidRDefault="007736D4" w:rsidP="007736D4">
            <w:pPr>
              <w:pStyle w:val="ae"/>
              <w:numPr>
                <w:ilvl w:val="0"/>
                <w:numId w:val="52"/>
              </w:numPr>
              <w:tabs>
                <w:tab w:val="left" w:pos="4111"/>
                <w:tab w:val="left" w:pos="6663"/>
              </w:tabs>
              <w:spacing w:before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Напрацювання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спільних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механізмів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фіксації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завданої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шкоди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спільно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державними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установами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досягнення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максимальної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повноти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документування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рівні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громад,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спільних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моніторингів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збору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систематизації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інформації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завдану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шкоду.</w:t>
            </w:r>
          </w:p>
          <w:p w14:paraId="12C1C67A" w14:textId="0B4CD904" w:rsidR="007736D4" w:rsidRPr="00743C1F" w:rsidRDefault="007736D4" w:rsidP="00643A4D">
            <w:pPr>
              <w:pStyle w:val="ae"/>
              <w:numPr>
                <w:ilvl w:val="0"/>
                <w:numId w:val="52"/>
              </w:numPr>
              <w:tabs>
                <w:tab w:val="left" w:pos="4111"/>
                <w:tab w:val="left" w:pos="6663"/>
              </w:tabs>
              <w:spacing w:before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Розробка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впровадження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локальних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програм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відновлення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громад,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передбачають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підтримку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постраждалих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мешканців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оцінку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збитків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формування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запиту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743C1F">
              <w:rPr>
                <w:rFonts w:ascii="Times New Roman" w:hAnsi="Times New Roman" w:cs="Times New Roman"/>
                <w:lang w:val="ru-RU"/>
              </w:rPr>
              <w:t>відшкодування</w:t>
            </w:r>
            <w:proofErr w:type="spellEnd"/>
            <w:r w:rsidRPr="00743C1F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14:paraId="2970B7AD" w14:textId="77777777" w:rsidR="00440906" w:rsidRPr="00743C1F" w:rsidRDefault="00440906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0DF408D" w14:textId="0C8019F6" w:rsidR="00A806DD" w:rsidRPr="00743C1F" w:rsidRDefault="00A806DD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До оголошення додаються формати документів, які є обов’язковими для подання організацією, а саме:  </w:t>
      </w: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опис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робочий план, бюджет, </w:t>
      </w:r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форма оцінки ризику та відповідальності субгрантера.</w:t>
      </w:r>
    </w:p>
    <w:p w14:paraId="5E849706" w14:textId="77777777" w:rsidR="00722241" w:rsidRPr="00743C1F" w:rsidRDefault="00722241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E26D6FC" w14:textId="77777777" w:rsidR="00E51A61" w:rsidRPr="00743C1F" w:rsidRDefault="00722241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Якщо організація зацікавлена в поданні </w:t>
      </w:r>
      <w:proofErr w:type="spellStart"/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r w:rsidR="00E51A61"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ів</w:t>
      </w:r>
      <w:proofErr w:type="spellEnd"/>
      <w:r w:rsidR="00E51A61"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кілька напрямів конкурсу </w:t>
      </w:r>
      <w:r w:rsidR="00E51A61"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їй  необхідно подавати  повні пакети документів на кожен конкурс окремо. </w:t>
      </w:r>
    </w:p>
    <w:p w14:paraId="1316D616" w14:textId="77777777" w:rsidR="00E51A61" w:rsidRPr="00743C1F" w:rsidRDefault="00E51A61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31BF19C" w14:textId="30639889" w:rsidR="00E51A61" w:rsidRDefault="00E51A61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Для адекватного оцінювання в описовій частині </w:t>
      </w:r>
      <w:proofErr w:type="spellStart"/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робочому плані та бюджеті повинно бути зазначено на який саме </w:t>
      </w:r>
      <w:r w:rsidR="001E0C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напрям </w:t>
      </w:r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</w:t>
      </w:r>
      <w:r w:rsidR="001E0C71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подано заявку.  </w:t>
      </w:r>
    </w:p>
    <w:p w14:paraId="58BB7FD7" w14:textId="77777777" w:rsidR="001E0C71" w:rsidRDefault="001E0C71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69F4676" w14:textId="233F27C4" w:rsidR="001E0C71" w:rsidRDefault="001E0C71" w:rsidP="001E0C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3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УГСПЛ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залишає за собою право розподілити  весь бюджет конкурсу або, за необхідності,  оголошувати додаткові конкурси за умови відсутності релевантних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пропозицій.</w:t>
      </w:r>
    </w:p>
    <w:p w14:paraId="119C7A08" w14:textId="77777777" w:rsidR="001E0C71" w:rsidRDefault="001E0C71" w:rsidP="001E0C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81E18C" w14:textId="162C7F77" w:rsidR="001E0C71" w:rsidRPr="001E0C71" w:rsidRDefault="001E0C71" w:rsidP="001E0C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1E0C71">
        <w:rPr>
          <w:rFonts w:ascii="Times New Roman" w:hAnsi="Times New Roman" w:cs="Times New Roman"/>
          <w:sz w:val="24"/>
          <w:szCs w:val="24"/>
        </w:rPr>
        <w:t>бсяг</w:t>
      </w:r>
      <w:proofErr w:type="spellEnd"/>
      <w:r w:rsidRPr="001E0C71">
        <w:rPr>
          <w:rFonts w:ascii="Times New Roman" w:hAnsi="Times New Roman" w:cs="Times New Roman"/>
          <w:sz w:val="24"/>
          <w:szCs w:val="24"/>
        </w:rPr>
        <w:t xml:space="preserve"> доступного </w:t>
      </w:r>
      <w:proofErr w:type="spellStart"/>
      <w:r w:rsidRPr="001E0C71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1E0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C71">
        <w:rPr>
          <w:rFonts w:ascii="Times New Roman" w:hAnsi="Times New Roman" w:cs="Times New Roman"/>
          <w:sz w:val="24"/>
          <w:szCs w:val="24"/>
        </w:rPr>
        <w:t>мож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E0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C71">
        <w:rPr>
          <w:rFonts w:ascii="Times New Roman" w:hAnsi="Times New Roman" w:cs="Times New Roman"/>
          <w:sz w:val="24"/>
          <w:szCs w:val="24"/>
        </w:rPr>
        <w:t>змінюватись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рішення </w:t>
      </w:r>
      <w:r>
        <w:rPr>
          <w:rFonts w:ascii="Times New Roman" w:hAnsi="Times New Roman" w:cs="Times New Roman"/>
          <w:sz w:val="24"/>
          <w:szCs w:val="24"/>
          <w:lang w:val="en-US"/>
        </w:rPr>
        <w:t>USAID</w:t>
      </w:r>
      <w:r w:rsidRPr="001E0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як основного донора</w:t>
      </w:r>
      <w:r w:rsidRPr="001E0C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такому випадку </w:t>
      </w:r>
      <w:r>
        <w:rPr>
          <w:rFonts w:ascii="Times New Roman" w:hAnsi="Times New Roman" w:cs="Times New Roman"/>
          <w:sz w:val="24"/>
          <w:szCs w:val="24"/>
        </w:rPr>
        <w:t>УГСПЛ</w:t>
      </w:r>
      <w:r w:rsidRPr="001E0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C71">
        <w:rPr>
          <w:rFonts w:ascii="Times New Roman" w:hAnsi="Times New Roman" w:cs="Times New Roman"/>
          <w:sz w:val="24"/>
          <w:szCs w:val="24"/>
        </w:rPr>
        <w:t>зберігає</w:t>
      </w:r>
      <w:proofErr w:type="spellEnd"/>
      <w:r w:rsidRPr="001E0C71">
        <w:rPr>
          <w:rFonts w:ascii="Times New Roman" w:hAnsi="Times New Roman" w:cs="Times New Roman"/>
          <w:sz w:val="24"/>
          <w:szCs w:val="24"/>
        </w:rPr>
        <w:t xml:space="preserve"> за собою право </w:t>
      </w:r>
      <w:r w:rsidR="0035276F">
        <w:rPr>
          <w:rFonts w:ascii="Times New Roman" w:hAnsi="Times New Roman" w:cs="Times New Roman"/>
          <w:sz w:val="24"/>
          <w:szCs w:val="24"/>
          <w:lang w:val="uk-UA"/>
        </w:rPr>
        <w:t xml:space="preserve">корегувати та/або </w:t>
      </w:r>
      <w:r w:rsidRPr="001E0C71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1E0C71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1E0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C71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FBC61CD" w14:textId="77777777" w:rsidR="00A806DD" w:rsidRPr="00743C1F" w:rsidRDefault="00A806DD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900C3A0" w14:textId="4276D12A" w:rsidR="00A806DD" w:rsidRPr="00743C1F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До </w:t>
      </w:r>
      <w:r w:rsidR="00643A4D"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2</w:t>
      </w:r>
      <w:r w:rsidR="00F507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4</w:t>
      </w:r>
      <w:r w:rsidR="00643A4D"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жовтня  </w:t>
      </w:r>
      <w:r w:rsidR="00F14118"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2023 </w:t>
      </w: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потенційні учасники можуть звертатись з письмовими запитами щодо конкурсу </w:t>
      </w:r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competition@</w:t>
      </w:r>
      <w:hyperlink r:id="rId8">
        <w:r w:rsidRPr="00743C1F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helsinki.org.ua</w:t>
        </w:r>
      </w:hyperlink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D5D95E8" w14:textId="22785477" w:rsidR="00A806DD" w:rsidRPr="00743C1F" w:rsidRDefault="00A806DD" w:rsidP="00A806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Пакет документів організаціями подається  до  </w:t>
      </w:r>
      <w:r w:rsidR="00643A4D"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2</w:t>
      </w:r>
      <w:r w:rsidR="001E0C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5</w:t>
      </w:r>
      <w:r w:rsidR="00643A4D"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жовтня </w:t>
      </w:r>
      <w:r w:rsidR="002173FF"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202</w:t>
      </w:r>
      <w:r w:rsidR="0023767C"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3</w:t>
      </w:r>
      <w:r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року</w:t>
      </w: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18:00 за Київським часом в електронному вигляді на електрону адресу </w:t>
      </w:r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competition@</w:t>
      </w:r>
      <w:hyperlink r:id="rId9">
        <w:r w:rsidRPr="00743C1F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helsinki.org.ua</w:t>
        </w:r>
      </w:hyperlink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51A61"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3A4CDBBE" w14:textId="77777777" w:rsidR="00A806DD" w:rsidRPr="00743C1F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Організація повинна надати:  </w:t>
      </w:r>
    </w:p>
    <w:p w14:paraId="3196E89B" w14:textId="4B3CBACE" w:rsidR="00A806DD" w:rsidRPr="00743C1F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sz w:val="24"/>
          <w:szCs w:val="24"/>
        </w:rPr>
        <w:t xml:space="preserve">Опис </w:t>
      </w:r>
      <w:proofErr w:type="spellStart"/>
      <w:r w:rsidRPr="00743C1F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="00844D87" w:rsidRPr="00743C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666152" w14:textId="6707A8B4" w:rsidR="00A806DD" w:rsidRPr="00743C1F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sz w:val="24"/>
          <w:szCs w:val="24"/>
        </w:rPr>
        <w:t>Опис робочого плану</w:t>
      </w:r>
      <w:r w:rsidR="00844D87" w:rsidRPr="00743C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B0468E" w14:textId="4AF22AB6" w:rsidR="00A806DD" w:rsidRPr="00743C1F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sz w:val="24"/>
          <w:szCs w:val="24"/>
        </w:rPr>
        <w:t>Бюджет</w:t>
      </w:r>
      <w:r w:rsidR="00844D87" w:rsidRPr="00743C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F7F2A" w14:textId="259F5032" w:rsidR="00A806DD" w:rsidRPr="00743C1F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sz w:val="24"/>
          <w:szCs w:val="24"/>
        </w:rPr>
        <w:t>Форму оцінки ризику та відповідальності субгрантера</w:t>
      </w:r>
      <w:r w:rsidR="00844D87" w:rsidRPr="00743C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12E02F" w14:textId="2AC8AE39" w:rsidR="00A806DD" w:rsidRPr="00743C1F" w:rsidRDefault="00A806DD" w:rsidP="00F14118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Свідоцтво про реєстрацію </w:t>
      </w:r>
      <w:r w:rsidR="00F14118"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або </w:t>
      </w: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4118" w:rsidRPr="00743C1F">
        <w:rPr>
          <w:rFonts w:ascii="Times New Roman" w:eastAsia="Times New Roman" w:hAnsi="Times New Roman" w:cs="Times New Roman"/>
          <w:sz w:val="24"/>
          <w:szCs w:val="24"/>
        </w:rPr>
        <w:t>розширений витяг з Єдиного державного реєстру юридичних осіб та актуальний на дату конкурсу (2023)</w:t>
      </w:r>
    </w:p>
    <w:p w14:paraId="542F34BA" w14:textId="55F9CBEB" w:rsidR="00A806DD" w:rsidRPr="00743C1F" w:rsidRDefault="0023767C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Витяг </w:t>
      </w:r>
      <w:r w:rsidR="00A806DD"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 внесення організації до Реєстру неприбуткових організацій з зазначенням коду неприбутковості</w:t>
      </w:r>
      <w:r w:rsidR="00844D87"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206B29D" w14:textId="016EFE01" w:rsidR="00A806DD" w:rsidRPr="00743C1F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Статут (у форматі PDF)</w:t>
      </w:r>
      <w:r w:rsidR="00844D87"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5FF1238" w14:textId="6C96774F" w:rsidR="00A806DD" w:rsidRPr="00743C1F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sz w:val="24"/>
          <w:szCs w:val="24"/>
        </w:rPr>
        <w:t xml:space="preserve">Резюме команди </w:t>
      </w:r>
      <w:proofErr w:type="spellStart"/>
      <w:r w:rsidRPr="00743C1F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743C1F">
        <w:rPr>
          <w:rFonts w:ascii="Times New Roman" w:eastAsia="Times New Roman" w:hAnsi="Times New Roman" w:cs="Times New Roman"/>
          <w:sz w:val="24"/>
          <w:szCs w:val="24"/>
        </w:rPr>
        <w:t xml:space="preserve"> (основна команда </w:t>
      </w:r>
      <w:proofErr w:type="spellStart"/>
      <w:r w:rsidRPr="00743C1F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743C1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4D87" w:rsidRPr="00743C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6AB85F" w14:textId="0966F36E" w:rsidR="00A806DD" w:rsidRPr="00743C1F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sz w:val="24"/>
          <w:szCs w:val="24"/>
        </w:rPr>
        <w:t>Банківські реквізити (довідка з банку</w:t>
      </w:r>
      <w:r w:rsidR="00F14118" w:rsidRPr="00743C1F">
        <w:rPr>
          <w:rFonts w:ascii="Times New Roman" w:eastAsia="Times New Roman" w:hAnsi="Times New Roman" w:cs="Times New Roman"/>
          <w:sz w:val="24"/>
          <w:szCs w:val="24"/>
        </w:rPr>
        <w:t xml:space="preserve"> про рахунок в гривнях</w:t>
      </w:r>
      <w:r w:rsidRPr="00743C1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4D87" w:rsidRPr="00743C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300009" w14:textId="40D710B8" w:rsidR="00A806DD" w:rsidRPr="00743C1F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743C1F">
        <w:rPr>
          <w:rFonts w:ascii="Times New Roman" w:eastAsia="Times New Roman" w:hAnsi="Times New Roman" w:cs="Times New Roman"/>
          <w:sz w:val="24"/>
          <w:szCs w:val="24"/>
        </w:rPr>
        <w:t xml:space="preserve">Підтвердження реєстрації в системі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Award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Management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(SAM)</w:t>
      </w:r>
      <w:r w:rsidRPr="00743C1F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  <w:hyperlink r:id="rId10" w:history="1">
        <w:r w:rsidRPr="00743C1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www.sam.gov</w:t>
        </w:r>
      </w:hyperlink>
      <w:r w:rsidR="00844D87" w:rsidRPr="00743C1F">
        <w:rPr>
          <w:rStyle w:val="a4"/>
          <w:rFonts w:ascii="Times New Roman" w:eastAsia="Times New Roman" w:hAnsi="Times New Roman" w:cs="Times New Roman"/>
          <w:sz w:val="24"/>
          <w:szCs w:val="24"/>
        </w:rPr>
        <w:t>.</w:t>
      </w:r>
    </w:p>
    <w:p w14:paraId="191324BB" w14:textId="77777777" w:rsidR="00F14118" w:rsidRPr="00743C1F" w:rsidRDefault="00F14118" w:rsidP="00F14118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sz w:val="24"/>
          <w:szCs w:val="24"/>
        </w:rPr>
        <w:t xml:space="preserve">Документ про призначення керівника організації відповідно до статуту з правом підпису.  </w:t>
      </w:r>
    </w:p>
    <w:p w14:paraId="6C9DE667" w14:textId="00EC962B" w:rsidR="00477859" w:rsidRPr="00743C1F" w:rsidRDefault="00477859" w:rsidP="00F14118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sz w:val="24"/>
          <w:szCs w:val="24"/>
        </w:rPr>
        <w:t>Лист підтримки від органів місцевого самоврядування</w:t>
      </w:r>
      <w:r w:rsidR="00643A4D" w:rsidRPr="00743C1F">
        <w:rPr>
          <w:rFonts w:ascii="Times New Roman" w:eastAsia="Times New Roman" w:hAnsi="Times New Roman" w:cs="Times New Roman"/>
          <w:sz w:val="24"/>
          <w:szCs w:val="24"/>
        </w:rPr>
        <w:t xml:space="preserve"> (для </w:t>
      </w:r>
      <w:proofErr w:type="spellStart"/>
      <w:r w:rsidR="00643A4D" w:rsidRPr="00743C1F">
        <w:rPr>
          <w:rFonts w:ascii="Times New Roman" w:eastAsia="Times New Roman" w:hAnsi="Times New Roman" w:cs="Times New Roman"/>
          <w:sz w:val="24"/>
          <w:szCs w:val="24"/>
        </w:rPr>
        <w:t>проєктів</w:t>
      </w:r>
      <w:proofErr w:type="spellEnd"/>
      <w:r w:rsidR="00643A4D" w:rsidRPr="00743C1F">
        <w:rPr>
          <w:rFonts w:ascii="Times New Roman" w:eastAsia="Times New Roman" w:hAnsi="Times New Roman" w:cs="Times New Roman"/>
          <w:sz w:val="24"/>
          <w:szCs w:val="24"/>
        </w:rPr>
        <w:t>, що передбачають реалізацію на рівні громад)</w:t>
      </w:r>
    </w:p>
    <w:p w14:paraId="2E7E25D9" w14:textId="77777777" w:rsidR="00A806DD" w:rsidRPr="00743C1F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9A2324B" w14:textId="78CFA5C5" w:rsidR="00E51A61" w:rsidRPr="00743C1F" w:rsidRDefault="00E51A61" w:rsidP="00E51A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В супровідному листі просимо зазначати напрям конкурсу на який  подається організація,</w:t>
      </w:r>
    </w:p>
    <w:p w14:paraId="267B4699" w14:textId="511781C8" w:rsidR="00E51A61" w:rsidRPr="00743C1F" w:rsidRDefault="00E51A61" w:rsidP="00E51A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саме : </w:t>
      </w:r>
    </w:p>
    <w:p w14:paraId="1855789E" w14:textId="77777777" w:rsidR="00E51A61" w:rsidRPr="00743C1F" w:rsidRDefault="00E51A61" w:rsidP="00E51A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03176B" w:rsidRPr="00180028" w14:paraId="0AC641B3" w14:textId="77777777" w:rsidTr="001637DF">
        <w:tc>
          <w:tcPr>
            <w:tcW w:w="1413" w:type="dxa"/>
          </w:tcPr>
          <w:p w14:paraId="39718216" w14:textId="49678D8D" w:rsidR="0003176B" w:rsidRPr="00743C1F" w:rsidRDefault="0003176B" w:rsidP="0003176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Напрям 1. </w:t>
            </w:r>
          </w:p>
        </w:tc>
        <w:tc>
          <w:tcPr>
            <w:tcW w:w="7932" w:type="dxa"/>
          </w:tcPr>
          <w:p w14:paraId="24AE405A" w14:textId="77777777" w:rsidR="0003176B" w:rsidRPr="00743C1F" w:rsidRDefault="0003176B" w:rsidP="0003176B">
            <w:pPr>
              <w:jc w:val="both"/>
              <w:rPr>
                <w:rFonts w:ascii="Times New Roman" w:eastAsia="Times New Roman" w:hAnsi="Times New Roman" w:cs="Times New Roman"/>
                <w:color w:val="242424"/>
                <w:lang w:val="uk-UA" w:eastAsia="uk-UA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Розширення та посилення моніторингу дотримання та просування прав людини (</w:t>
            </w: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val="uk-UA" w:eastAsia="uk-UA"/>
              </w:rPr>
              <w:t xml:space="preserve">моніторинг воєнних злочинів, аналіз відповідних законодавчих ініціатив, судових рішень, національна та міжнародна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val="uk-UA" w:eastAsia="uk-UA"/>
              </w:rPr>
              <w:t>адвокація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val="uk-UA" w:eastAsia="uk-UA"/>
              </w:rPr>
              <w:t xml:space="preserve"> тощо) </w:t>
            </w:r>
          </w:p>
          <w:p w14:paraId="38009E50" w14:textId="4BE78646" w:rsidR="0003176B" w:rsidRPr="00743C1F" w:rsidRDefault="0003176B" w:rsidP="0003176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 </w:t>
            </w:r>
          </w:p>
        </w:tc>
      </w:tr>
      <w:tr w:rsidR="0003176B" w:rsidRPr="00180028" w14:paraId="0F45AFC7" w14:textId="77777777" w:rsidTr="001637DF">
        <w:tc>
          <w:tcPr>
            <w:tcW w:w="1413" w:type="dxa"/>
          </w:tcPr>
          <w:p w14:paraId="72D3334F" w14:textId="6C54212A" w:rsidR="0003176B" w:rsidRPr="00743C1F" w:rsidRDefault="0003176B" w:rsidP="0003176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Напрям 2. </w:t>
            </w:r>
          </w:p>
        </w:tc>
        <w:tc>
          <w:tcPr>
            <w:tcW w:w="7932" w:type="dxa"/>
          </w:tcPr>
          <w:p w14:paraId="72893846" w14:textId="77777777" w:rsidR="0003176B" w:rsidRPr="00743C1F" w:rsidRDefault="0003176B" w:rsidP="0003176B">
            <w:pPr>
              <w:jc w:val="both"/>
              <w:rPr>
                <w:rFonts w:ascii="Times New Roman" w:eastAsia="Times New Roman" w:hAnsi="Times New Roman" w:cs="Times New Roman"/>
                <w:color w:val="242424"/>
                <w:lang w:val="uk-UA" w:eastAsia="uk-UA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Вдосконалення та розширення роботи з підвищення обізнаності та посилення правової спроможності громадян (</w:t>
            </w: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val="uk-UA" w:eastAsia="uk-UA"/>
              </w:rPr>
              <w:t>підтримка незалежних медіа та експертних платформ, що фокусуються на захисті прав людині та доступі до правосуддя</w:t>
            </w: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 </w:t>
            </w: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val="uk-UA" w:eastAsia="uk-UA"/>
              </w:rPr>
              <w:t>) </w:t>
            </w:r>
          </w:p>
          <w:p w14:paraId="4519F12A" w14:textId="1540C48D" w:rsidR="0003176B" w:rsidRPr="00743C1F" w:rsidRDefault="0003176B" w:rsidP="0003176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 </w:t>
            </w:r>
          </w:p>
        </w:tc>
      </w:tr>
      <w:tr w:rsidR="0003176B" w:rsidRPr="00180028" w14:paraId="7D0E6F68" w14:textId="77777777" w:rsidTr="001637DF">
        <w:tc>
          <w:tcPr>
            <w:tcW w:w="1413" w:type="dxa"/>
          </w:tcPr>
          <w:p w14:paraId="7F751EC2" w14:textId="3A9F73DF" w:rsidR="0003176B" w:rsidRPr="00743C1F" w:rsidRDefault="0003176B" w:rsidP="0003176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Напрям 3. </w:t>
            </w:r>
          </w:p>
        </w:tc>
        <w:tc>
          <w:tcPr>
            <w:tcW w:w="7932" w:type="dxa"/>
          </w:tcPr>
          <w:p w14:paraId="260A87F4" w14:textId="122CF394" w:rsidR="0003176B" w:rsidRPr="00743C1F" w:rsidRDefault="0003176B" w:rsidP="0003176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Посилення спроможності місцевих громад, постраждалих від конфлікту, у документуванні воєнних злочинів та оцінці завданої шкоди </w:t>
            </w:r>
            <w:r w:rsidRPr="00743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val="uk-UA" w:eastAsia="uk-UA"/>
              </w:rPr>
              <w:t>(співпраця місцевих НУО, органів влади, правоохоронних органів та експертів) </w:t>
            </w:r>
          </w:p>
        </w:tc>
      </w:tr>
    </w:tbl>
    <w:p w14:paraId="1C77C29B" w14:textId="77777777" w:rsidR="00E51A61" w:rsidRPr="00743C1F" w:rsidRDefault="00E51A61" w:rsidP="00E51A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D022612" w14:textId="77777777" w:rsidR="00E51A61" w:rsidRPr="00743C1F" w:rsidRDefault="00E51A61" w:rsidP="00A806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87EC1BC" w14:textId="5CCC2041" w:rsidR="00A806DD" w:rsidRPr="00743C1F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Заявка повинна бути подана одним пакетом документів, не потрібно архівувати файли, чи використовувати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файлообмінні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ресурси. За цим Запитом подання заявок у паперовому вигляді не передбачається. У темі повідомлення має бути зазначено “Заявка на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субгрант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назва організації дата”. </w:t>
      </w:r>
    </w:p>
    <w:p w14:paraId="71DB2335" w14:textId="77777777" w:rsidR="00A806DD" w:rsidRPr="00743C1F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Форма заявки на отримання субгранту має бути подана у форматі Microsoft Word, з одинарним відступом, шрифтом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Times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New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Roman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розмір 12. Бюджет має бути поданий у форматі Microsoft Excel.</w:t>
      </w:r>
    </w:p>
    <w:tbl>
      <w:tblPr>
        <w:tblW w:w="9924" w:type="dxa"/>
        <w:tblInd w:w="-354" w:type="dxa"/>
        <w:tblLayout w:type="fixed"/>
        <w:tblCellMar>
          <w:top w:w="100" w:type="dxa"/>
          <w:left w:w="72" w:type="dxa"/>
          <w:bottom w:w="100" w:type="dxa"/>
          <w:right w:w="72" w:type="dxa"/>
        </w:tblCellMar>
        <w:tblLook w:val="04A0" w:firstRow="1" w:lastRow="0" w:firstColumn="1" w:lastColumn="0" w:noHBand="0" w:noVBand="1"/>
      </w:tblPr>
      <w:tblGrid>
        <w:gridCol w:w="8741"/>
        <w:gridCol w:w="1183"/>
      </w:tblGrid>
      <w:tr w:rsidR="00A806DD" w:rsidRPr="00743C1F" w14:paraId="6010736E" w14:textId="77777777" w:rsidTr="00121DC2"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E2A741" w14:textId="77777777" w:rsidR="00A806DD" w:rsidRPr="00743C1F" w:rsidRDefault="00A806DD" w:rsidP="00121DC2">
            <w:pPr>
              <w:widowControl w:val="0"/>
              <w:spacing w:line="240" w:lineRule="auto"/>
              <w:ind w:left="66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Критерій оцінки </w:t>
            </w:r>
            <w:proofErr w:type="spellStart"/>
            <w:r w:rsidRPr="00743C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проєктних</w:t>
            </w:r>
            <w:proofErr w:type="spellEnd"/>
            <w:r w:rsidRPr="00743C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пропозицій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376452" w14:textId="77777777" w:rsidR="00A806DD" w:rsidRPr="00743C1F" w:rsidRDefault="00A806DD" w:rsidP="00121DC2">
            <w:pPr>
              <w:widowControl w:val="0"/>
              <w:spacing w:line="240" w:lineRule="auto"/>
              <w:ind w:right="-32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43C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743C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бали</w:t>
            </w:r>
          </w:p>
        </w:tc>
      </w:tr>
      <w:tr w:rsidR="00A806DD" w:rsidRPr="00743C1F" w14:paraId="175B8359" w14:textId="77777777" w:rsidTr="00121DC2">
        <w:trPr>
          <w:trHeight w:val="426"/>
        </w:trPr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293466" w14:textId="77777777" w:rsidR="00A806DD" w:rsidRPr="00743C1F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I. Ситуаційний аналіз </w:t>
            </w:r>
          </w:p>
          <w:p w14:paraId="31CC2D68" w14:textId="77777777" w:rsidR="00A806DD" w:rsidRPr="00743C1F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Обізнаність та розуміння заявником проблеми та відповідність цілям конкурсу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F6CE78" w14:textId="77777777" w:rsidR="00A806DD" w:rsidRPr="00743C1F" w:rsidRDefault="00A806DD" w:rsidP="00121DC2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>15</w:t>
            </w:r>
          </w:p>
        </w:tc>
      </w:tr>
      <w:tr w:rsidR="00A806DD" w:rsidRPr="00743C1F" w14:paraId="669B553C" w14:textId="77777777" w:rsidTr="00121DC2"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CAB830" w14:textId="77777777" w:rsidR="00A806DD" w:rsidRPr="00743C1F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EFEFE"/>
                <w:lang w:val="uk-UA"/>
              </w:rPr>
              <w:t>II. Результати та індикатори</w:t>
            </w:r>
          </w:p>
          <w:p w14:paraId="7808DA05" w14:textId="77777777" w:rsidR="00A806DD" w:rsidRPr="00743C1F" w:rsidRDefault="00A806DD" w:rsidP="00121DC2">
            <w:pPr>
              <w:widowControl w:val="0"/>
              <w:shd w:val="clear" w:color="auto" w:fill="FFFFFF"/>
              <w:spacing w:line="240" w:lineRule="auto"/>
              <w:ind w:left="66" w:right="24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Прагнення до досягнення сталих результатів, які триватимуть після закінчення </w:t>
            </w:r>
            <w:proofErr w:type="spellStart"/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проєкту</w:t>
            </w:r>
            <w:proofErr w:type="spellEnd"/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О</w:t>
            </w:r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>цінюється  доцільність запропонованих цілей за наданими показниками.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A0EC71" w14:textId="77777777" w:rsidR="00A806DD" w:rsidRPr="00743C1F" w:rsidRDefault="00A806DD" w:rsidP="00121DC2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>25</w:t>
            </w:r>
          </w:p>
        </w:tc>
      </w:tr>
      <w:tr w:rsidR="00A806DD" w:rsidRPr="00743C1F" w14:paraId="6EAF5A06" w14:textId="77777777" w:rsidTr="00121DC2"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21C2C0" w14:textId="77777777" w:rsidR="00A806DD" w:rsidRPr="00743C1F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EFEFE"/>
                <w:lang w:val="uk-UA"/>
              </w:rPr>
              <w:t>III. Робочий план</w:t>
            </w:r>
          </w:p>
          <w:p w14:paraId="5A39256D" w14:textId="77777777" w:rsidR="00A806DD" w:rsidRPr="00743C1F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</w:pPr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 xml:space="preserve">Оцінюється, як запропоновані заходи сприятимуть досягненню результатів відповідно до пріоритетів Програми та </w:t>
            </w:r>
            <w:proofErr w:type="spellStart"/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>Проєкту</w:t>
            </w:r>
            <w:proofErr w:type="spellEnd"/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5DB32B" w14:textId="77777777" w:rsidR="00A806DD" w:rsidRPr="00743C1F" w:rsidRDefault="00A806DD" w:rsidP="00121DC2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>25</w:t>
            </w:r>
          </w:p>
        </w:tc>
      </w:tr>
      <w:tr w:rsidR="00A806DD" w:rsidRPr="00743C1F" w14:paraId="2D1F7D32" w14:textId="77777777" w:rsidTr="00121DC2"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1D9D7A" w14:textId="77777777" w:rsidR="00A806DD" w:rsidRPr="00743C1F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VI. Попередній досвід, управління та персонал</w:t>
            </w:r>
          </w:p>
          <w:p w14:paraId="032F308F" w14:textId="77777777" w:rsidR="00A806DD" w:rsidRPr="00743C1F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Оцінюється відповідний досвід в імплементації правозахисних програм. Наявність необхідного  персоналу для виконання запропонованих заходів. 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668C41" w14:textId="77777777" w:rsidR="00A806DD" w:rsidRPr="00743C1F" w:rsidRDefault="00A806DD" w:rsidP="00121DC2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>15</w:t>
            </w:r>
          </w:p>
        </w:tc>
      </w:tr>
      <w:tr w:rsidR="00A806DD" w:rsidRPr="00743C1F" w14:paraId="7926C89E" w14:textId="77777777" w:rsidTr="00121DC2"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12C101" w14:textId="77777777" w:rsidR="00A806DD" w:rsidRPr="00743C1F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V. Оцінка бюджету</w:t>
            </w:r>
          </w:p>
          <w:p w14:paraId="66831508" w14:textId="77777777" w:rsidR="00A806DD" w:rsidRPr="00743C1F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Оцінюється за принципами доцільності, економічної ефективності та реальності. Спілка залишає за собою право визначати рівень фінансування субгрантів, обраних за цим Запитом, незалежно від того, що заявник вказує у своїй бюджетній заявці.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CAD3A9" w14:textId="77777777" w:rsidR="00A806DD" w:rsidRPr="00743C1F" w:rsidRDefault="00A806DD" w:rsidP="00121DC2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>20</w:t>
            </w:r>
          </w:p>
        </w:tc>
      </w:tr>
      <w:tr w:rsidR="00A806DD" w:rsidRPr="00743C1F" w14:paraId="48009137" w14:textId="77777777" w:rsidTr="00121DC2"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EB4783" w14:textId="77777777" w:rsidR="00A806DD" w:rsidRPr="00743C1F" w:rsidRDefault="00A806DD" w:rsidP="00121DC2">
            <w:pPr>
              <w:widowControl w:val="0"/>
              <w:spacing w:line="240" w:lineRule="auto"/>
              <w:ind w:left="66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235F01" w14:textId="77777777" w:rsidR="00A806DD" w:rsidRPr="00743C1F" w:rsidRDefault="00A806DD" w:rsidP="00121DC2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14:paraId="58CFBB61" w14:textId="77777777" w:rsidR="00A806DD" w:rsidRPr="00743C1F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4544E42" w14:textId="77777777" w:rsidR="00A806DD" w:rsidRPr="00743C1F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376FFAB" w14:textId="77777777" w:rsidR="00132967" w:rsidRPr="00743C1F" w:rsidRDefault="00132967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A3A7BA7" w14:textId="77777777" w:rsidR="00A806DD" w:rsidRPr="00743C1F" w:rsidRDefault="00A806DD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43C1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Календарний план: </w:t>
      </w:r>
    </w:p>
    <w:p w14:paraId="20A67536" w14:textId="77777777" w:rsidR="00A806DD" w:rsidRPr="00743C1F" w:rsidRDefault="00A806DD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Style w:val="a5"/>
        <w:tblW w:w="9345" w:type="dxa"/>
        <w:tblLayout w:type="fixed"/>
        <w:tblLook w:val="04A0" w:firstRow="1" w:lastRow="0" w:firstColumn="1" w:lastColumn="0" w:noHBand="0" w:noVBand="1"/>
      </w:tblPr>
      <w:tblGrid>
        <w:gridCol w:w="848"/>
        <w:gridCol w:w="6095"/>
        <w:gridCol w:w="2402"/>
      </w:tblGrid>
      <w:tr w:rsidR="00A806DD" w:rsidRPr="00743C1F" w14:paraId="31188C32" w14:textId="77777777" w:rsidTr="00F14118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B4D4B" w14:textId="77777777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10452" w14:textId="77777777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оголошення конкурсу</w:t>
            </w:r>
          </w:p>
          <w:p w14:paraId="740FA1F7" w14:textId="77777777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57B51" w14:textId="018A263E" w:rsidR="00A806DD" w:rsidRPr="00743C1F" w:rsidRDefault="001E0C71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</w:t>
            </w:r>
            <w:r w:rsidR="00643A4D"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жовтня </w:t>
            </w:r>
            <w:r w:rsidR="00F14118"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2023 </w:t>
            </w:r>
          </w:p>
        </w:tc>
      </w:tr>
      <w:tr w:rsidR="00A806DD" w:rsidRPr="00743C1F" w14:paraId="3EF58400" w14:textId="77777777" w:rsidTr="00F14118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735BB" w14:textId="77777777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4F910" w14:textId="77777777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Дата подання 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заявок  </w:t>
            </w:r>
          </w:p>
          <w:p w14:paraId="3AB3A225" w14:textId="77777777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03C49" w14:textId="44CADC16" w:rsidR="00A806DD" w:rsidRPr="00743C1F" w:rsidRDefault="00643A4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1E0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жовтня </w:t>
            </w:r>
            <w:r w:rsidR="00F14118"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2023 </w:t>
            </w:r>
          </w:p>
        </w:tc>
      </w:tr>
      <w:tr w:rsidR="00A806DD" w:rsidRPr="00743C1F" w14:paraId="567007E4" w14:textId="77777777" w:rsidTr="00F14118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5D8C7" w14:textId="77777777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A2FE6" w14:textId="77777777" w:rsidR="00A806DD" w:rsidRPr="00743C1F" w:rsidRDefault="00A806DD" w:rsidP="00121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Перевірка організації та персоналу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: </w:t>
            </w:r>
          </w:p>
          <w:p w14:paraId="043C49B9" w14:textId="77777777" w:rsidR="00A806DD" w:rsidRPr="00743C1F" w:rsidRDefault="00A806DD" w:rsidP="00121D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ООН https://www.un.org/securitycouncil/content/un-sc-consolidated-list</w:t>
            </w:r>
          </w:p>
          <w:p w14:paraId="17E4F668" w14:textId="77777777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Управлінням з контролю за іноземними активами (OFAC) Міністерства фінансів США </w:t>
            </w:r>
            <w:hyperlink r:id="rId11">
              <w:r w:rsidRPr="00743C1F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https://www.treasury.gov/resource -</w:t>
              </w:r>
              <w:proofErr w:type="spellStart"/>
              <w:r w:rsidRPr="00743C1F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center</w:t>
              </w:r>
              <w:proofErr w:type="spellEnd"/>
              <w:r w:rsidRPr="00743C1F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proofErr w:type="spellStart"/>
              <w:r w:rsidRPr="00743C1F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sanctions</w:t>
              </w:r>
              <w:proofErr w:type="spellEnd"/>
              <w:r w:rsidRPr="00743C1F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/SDN </w:t>
              </w:r>
              <w:proofErr w:type="spellStart"/>
              <w:r w:rsidRPr="00743C1F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List</w:t>
              </w:r>
              <w:proofErr w:type="spellEnd"/>
              <w:r w:rsidRPr="00743C1F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proofErr w:type="spellStart"/>
              <w:r w:rsidRPr="00743C1F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Pages</w:t>
              </w:r>
              <w:proofErr w:type="spellEnd"/>
              <w:r w:rsidRPr="00743C1F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/default.aspx/</w:t>
              </w:r>
            </w:hyperlink>
          </w:p>
          <w:p w14:paraId="45CDB019" w14:textId="77777777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</w:pPr>
            <w:proofErr w:type="spellStart"/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System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for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Award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Management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(SAM)</w:t>
            </w:r>
            <w:r w:rsidRPr="00743C1F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7EE99162" w14:textId="77777777" w:rsidR="00A806DD" w:rsidRPr="00743C1F" w:rsidRDefault="00000000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2">
              <w:r w:rsidR="00A806DD" w:rsidRPr="00743C1F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www.sam.gov</w:t>
              </w:r>
            </w:hyperlink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B68CA" w14:textId="409C211B" w:rsidR="00A806DD" w:rsidRPr="00743C1F" w:rsidRDefault="00643A4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1E0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 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жовтня </w:t>
            </w:r>
            <w:r w:rsidR="00F14118"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2023 </w:t>
            </w:r>
          </w:p>
        </w:tc>
      </w:tr>
      <w:tr w:rsidR="00A806DD" w:rsidRPr="00743C1F" w14:paraId="00AAD3FD" w14:textId="77777777" w:rsidTr="00F14118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B8EFF" w14:textId="77777777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 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985F5" w14:textId="77777777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Засідання експертної комісії </w:t>
            </w:r>
          </w:p>
          <w:p w14:paraId="50F4E01E" w14:textId="77777777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6D01D" w14:textId="61879466" w:rsidR="00A806DD" w:rsidRPr="00743C1F" w:rsidRDefault="00A4622C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</w:t>
            </w:r>
            <w:r w:rsidR="001E0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листопада</w:t>
            </w:r>
            <w:r w:rsidR="00643A4D"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14118"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2023 </w:t>
            </w:r>
          </w:p>
        </w:tc>
      </w:tr>
      <w:tr w:rsidR="00A806DD" w:rsidRPr="00743C1F" w14:paraId="74885125" w14:textId="77777777" w:rsidTr="00F14118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33028" w14:textId="77777777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3E8F" w14:textId="52BBA998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Пре моніторинговий візит (очно/онлайн) </w:t>
            </w:r>
            <w:r w:rsidR="00643A4D"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нових організацій.</w:t>
            </w:r>
          </w:p>
          <w:p w14:paraId="7D8BB2A0" w14:textId="77777777" w:rsidR="00A806DD" w:rsidRPr="00743C1F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08EEF" w14:textId="1F04B07D" w:rsidR="00A806DD" w:rsidRPr="00743C1F" w:rsidRDefault="00643A4D" w:rsidP="00F141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листопада</w:t>
            </w:r>
            <w:r w:rsidR="00F14118"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2023 </w:t>
            </w:r>
          </w:p>
        </w:tc>
      </w:tr>
      <w:tr w:rsidR="00C614C3" w:rsidRPr="00743C1F" w14:paraId="004EF1CD" w14:textId="77777777" w:rsidTr="00FB56FA">
        <w:trPr>
          <w:trHeight w:val="192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E289B1" w14:textId="77777777" w:rsidR="00C614C3" w:rsidRPr="00743C1F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  <w:p w14:paraId="24C8FA35" w14:textId="77777777" w:rsidR="00C614C3" w:rsidRPr="00743C1F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797B433" w14:textId="304B4CD6" w:rsidR="00C614C3" w:rsidRPr="00743C1F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057065" w14:textId="77777777" w:rsidR="00C614C3" w:rsidRPr="00743C1F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Розробка  плану моніторингу та оцінки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проєкту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стратегії брендингу та маркування,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фіналізація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проєкту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бюджету</w:t>
            </w:r>
          </w:p>
          <w:p w14:paraId="5AB59633" w14:textId="77777777" w:rsidR="00C614C3" w:rsidRPr="00743C1F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Погодження </w:t>
            </w:r>
            <w:proofErr w:type="spellStart"/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проєктної</w:t>
            </w:r>
            <w:proofErr w:type="spellEnd"/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пропозиції з USAID </w:t>
            </w:r>
          </w:p>
          <w:p w14:paraId="0350159F" w14:textId="77777777" w:rsidR="00C614C3" w:rsidRPr="00743C1F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Підписання угоди про надання субгранту.</w:t>
            </w:r>
          </w:p>
          <w:p w14:paraId="325A283D" w14:textId="77777777" w:rsidR="00C614C3" w:rsidRPr="00743C1F" w:rsidRDefault="00C614C3" w:rsidP="001464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Перерахування першого траншу </w:t>
            </w:r>
          </w:p>
          <w:p w14:paraId="11E90510" w14:textId="5EE3EF65" w:rsidR="00C614C3" w:rsidRPr="00743C1F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73E618" w14:textId="4FD64C8D" w:rsidR="00C614C3" w:rsidRPr="00743C1F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</w:t>
            </w:r>
            <w:r w:rsidR="001E0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  <w:r w:rsidR="00643A4D"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листопада</w:t>
            </w:r>
            <w:r w:rsidRPr="00743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2023 </w:t>
            </w:r>
          </w:p>
        </w:tc>
      </w:tr>
    </w:tbl>
    <w:p w14:paraId="21E8E8ED" w14:textId="77777777" w:rsidR="00F5072F" w:rsidRDefault="00844D87" w:rsidP="00F5072F">
      <w:pPr>
        <w:pStyle w:val="1"/>
        <w:spacing w:line="240" w:lineRule="auto"/>
        <w:jc w:val="both"/>
      </w:pPr>
      <w:r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*</w:t>
      </w:r>
      <w:r w:rsidRPr="00743C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Обов’язковою умовою для всіх </w:t>
      </w:r>
      <w:proofErr w:type="spellStart"/>
      <w:r w:rsidRPr="00743C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грантоотримувачів</w:t>
      </w:r>
      <w:proofErr w:type="spellEnd"/>
      <w:r w:rsidRPr="00743C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є надання УГСПЛ номера UEI (SAM). Без номера UEI (SAM) УГСПЛ  не може укладати угоду з жодною організацією. Організації, які не </w:t>
      </w:r>
      <w:proofErr w:type="spellStart"/>
      <w:r w:rsidRPr="00743C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нададуть</w:t>
      </w:r>
      <w:proofErr w:type="spellEnd"/>
      <w:r w:rsidRPr="00743C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номер UEI (SAM), не отримають грант, а </w:t>
      </w:r>
      <w:r w:rsidR="00CC2FC6" w:rsidRPr="00743C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УГСПЛ </w:t>
      </w:r>
      <w:r w:rsidRPr="00743C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743C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обере</w:t>
      </w:r>
      <w:proofErr w:type="spellEnd"/>
      <w:r w:rsidRPr="00743C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альтернативного грантоотримувача.</w:t>
      </w:r>
      <w:r w:rsidR="00F5072F" w:rsidRPr="00F5072F">
        <w:t xml:space="preserve"> </w:t>
      </w:r>
    </w:p>
    <w:p w14:paraId="1501367A" w14:textId="458C10B8" w:rsidR="00F5072F" w:rsidRPr="00F5072F" w:rsidRDefault="00F5072F" w:rsidP="00F5072F">
      <w:pPr>
        <w:pStyle w:val="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5072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Очікувана дата початку та період дії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УГСПЛ</w:t>
      </w:r>
      <w:r w:rsidRPr="00F5072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очікує, що початок діяльності за грантом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5072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відбудеться одразу після підписання грантової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5072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угоди, з періодом виконання гранту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6 місяців.</w:t>
      </w:r>
    </w:p>
    <w:p w14:paraId="042774D5" w14:textId="5DD3C61B" w:rsidR="00A806DD" w:rsidRPr="00743C1F" w:rsidRDefault="00A806DD" w:rsidP="00132967">
      <w:pPr>
        <w:pStyle w:val="1"/>
        <w:spacing w:line="240" w:lineRule="auto"/>
        <w:rPr>
          <w:rFonts w:ascii="Times New Roman" w:eastAsia="Times New Roman" w:hAnsi="Times New Roman" w:cs="Times New Roman"/>
          <w:b/>
          <w:bCs/>
          <w:color w:val="150434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b/>
          <w:bCs/>
          <w:color w:val="150434"/>
          <w:sz w:val="24"/>
          <w:szCs w:val="24"/>
          <w:lang w:val="uk-UA"/>
        </w:rPr>
        <w:t>Відповідність вимогам</w:t>
      </w:r>
    </w:p>
    <w:p w14:paraId="78B9C806" w14:textId="7702DE19" w:rsidR="00A806DD" w:rsidRPr="00743C1F" w:rsidRDefault="00A806DD" w:rsidP="00A806D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Організація</w:t>
      </w:r>
      <w:r w:rsidR="004A4117"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743C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 подається на конкурс</w:t>
      </w: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має відповідати наступним обов’язковим вимогам:</w:t>
      </w:r>
    </w:p>
    <w:p w14:paraId="0A3B7450" w14:textId="77777777" w:rsidR="00A806DD" w:rsidRPr="00743C1F" w:rsidRDefault="00A806DD" w:rsidP="00A806DD">
      <w:pPr>
        <w:pStyle w:val="a3"/>
        <w:numPr>
          <w:ilvl w:val="0"/>
          <w:numId w:val="38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 офіційно зареєстрованою зі статусом юридичної особи на території України;</w:t>
      </w:r>
    </w:p>
    <w:p w14:paraId="25E9C45B" w14:textId="77777777" w:rsidR="00A806DD" w:rsidRPr="00743C1F" w:rsidRDefault="00A806DD" w:rsidP="00A806DD">
      <w:pPr>
        <w:pStyle w:val="a3"/>
        <w:numPr>
          <w:ilvl w:val="0"/>
          <w:numId w:val="38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 статус неприбуткової або благодійної організації (коди неприбутковості 0032, 0034, 0036, 0038, 0039 або 0048);</w:t>
      </w:r>
    </w:p>
    <w:p w14:paraId="141E9FBE" w14:textId="77777777" w:rsidR="00A806DD" w:rsidRPr="00743C1F" w:rsidRDefault="00A806DD" w:rsidP="00A806DD">
      <w:pPr>
        <w:pStyle w:val="a3"/>
        <w:numPr>
          <w:ilvl w:val="0"/>
          <w:numId w:val="38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мати відповідних фахівців та персонал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його реалізації.</w:t>
      </w:r>
    </w:p>
    <w:p w14:paraId="75E2F6D7" w14:textId="77777777" w:rsidR="00A806DD" w:rsidRPr="00743C1F" w:rsidRDefault="00A806DD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F248680" w14:textId="77777777" w:rsidR="00A806DD" w:rsidRPr="00743C1F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2" w:name="_Hlk113542577"/>
      <w:proofErr w:type="spellStart"/>
      <w:r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Брендування</w:t>
      </w:r>
      <w:proofErr w:type="spellEnd"/>
      <w:r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</w:p>
    <w:p w14:paraId="5748A1A8" w14:textId="77777777" w:rsidR="00A806DD" w:rsidRPr="00743C1F" w:rsidRDefault="00A806DD" w:rsidP="00A806D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3C1F">
        <w:rPr>
          <w:rStyle w:val="eop"/>
          <w:color w:val="000000"/>
          <w:bdr w:val="none" w:sz="0" w:space="0" w:color="auto" w:frame="1"/>
        </w:rPr>
        <w:t> </w:t>
      </w:r>
    </w:p>
    <w:bookmarkEnd w:id="2"/>
    <w:p w14:paraId="186E9CF9" w14:textId="1B4B31DC" w:rsidR="00A806DD" w:rsidRPr="00743C1F" w:rsidRDefault="00A806DD" w:rsidP="00A806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43C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Організація  зобов’язана  забезпечити: </w:t>
      </w:r>
    </w:p>
    <w:p w14:paraId="6688C85B" w14:textId="77777777" w:rsidR="00A806DD" w:rsidRPr="00743C1F" w:rsidRDefault="00A806DD" w:rsidP="00A806DD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43C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Згадування у публічних виступах або інтерв’ю виконавців </w:t>
      </w:r>
      <w:proofErr w:type="spellStart"/>
      <w:r w:rsidRPr="00743C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Проєкту</w:t>
      </w:r>
      <w:proofErr w:type="spellEnd"/>
      <w:r w:rsidRPr="00743C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на заходах, які повністю або частково фінансуються на кошти Програми «Права людини в дії», що реалізується  за підтримки </w:t>
      </w:r>
      <w:r w:rsidRPr="00743C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Української Гельсінської Спілки з прав людини</w:t>
      </w:r>
      <w:r w:rsidRPr="00743C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</w:t>
      </w:r>
    </w:p>
    <w:p w14:paraId="287B4B56" w14:textId="77777777" w:rsidR="00A806DD" w:rsidRPr="00743C1F" w:rsidRDefault="00A806DD" w:rsidP="00A806DD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43C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Вказування у будь-яких творах (в тому числі аудіовізуальних), публікаціях та документах, створених у рамках виконання </w:t>
      </w:r>
      <w:bookmarkStart w:id="3" w:name="_Hlk113542417"/>
      <w:r w:rsidRPr="00743C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Програми </w:t>
      </w:r>
      <w:r w:rsidRPr="00743C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«Права людини в дії»</w:t>
      </w:r>
      <w:r w:rsidRPr="00743C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, </w:t>
      </w:r>
      <w:r w:rsidRPr="00743C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lastRenderedPageBreak/>
        <w:t>що реалізується за фінансової підтримки Української Гельсінської Спілки з прав людини.</w:t>
      </w:r>
      <w:bookmarkEnd w:id="3"/>
    </w:p>
    <w:p w14:paraId="1D05FAE3" w14:textId="77777777" w:rsidR="00A806DD" w:rsidRPr="00743C1F" w:rsidRDefault="00A806DD" w:rsidP="00A806DD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43C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Розміщення логотипів УГСПЛ на примірниках будь-яких творів, публікацій та документів  створених у рамках виконання Програми </w:t>
      </w:r>
      <w:r w:rsidRPr="00743C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«Права людини в дії».</w:t>
      </w:r>
    </w:p>
    <w:p w14:paraId="09768560" w14:textId="77777777" w:rsidR="00A806DD" w:rsidRPr="00743C1F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2E75C1D" w14:textId="77777777" w:rsidR="00A806DD" w:rsidRPr="00743C1F" w:rsidRDefault="00A806DD" w:rsidP="00A806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43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Організація  зобов’язана  надати УГСПЛ  право на безоплатне невиключне і невідкличне право використання указаних вище творів на території України чи будь-якої іншої держави, а також на використання цих творів повністю або частково у збірках, перекладах та інших похідних творах.</w:t>
      </w:r>
    </w:p>
    <w:p w14:paraId="20C58CC5" w14:textId="77777777" w:rsidR="00A806DD" w:rsidRPr="00743C1F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5B618F0" w14:textId="77777777" w:rsidR="00A806DD" w:rsidRPr="00743C1F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Рекомендації до бюджетування:</w:t>
      </w:r>
    </w:p>
    <w:p w14:paraId="45E791F1" w14:textId="77777777" w:rsidR="00A806DD" w:rsidRPr="00743C1F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Фінансування може передбачати:</w:t>
      </w:r>
    </w:p>
    <w:p w14:paraId="5FD6B3D3" w14:textId="77777777" w:rsidR="00A806DD" w:rsidRPr="00743C1F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виплату заробітної плати штатних працівників організації та грошової винагороди працівників, які працюють за угодами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цивільноправового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характеру та виконують обов’язки, що належать до реалізації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ABD875C" w14:textId="77777777" w:rsidR="00A806DD" w:rsidRPr="00743C1F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грошової винагороди працівників та консультантів, які працюють за угодами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цивільноправового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характеру, та тих, хто працює як фізичні особи — підприємці, обов’язки яких безпосередньо належать до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проєктної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діяльності; </w:t>
      </w:r>
    </w:p>
    <w:p w14:paraId="63FEA8DD" w14:textId="77777777" w:rsidR="00A806DD" w:rsidRPr="00743C1F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виплату додаткових витрат, які з’являються внаслідок виплати заробітної плати, грошової винагороди, послуг,  які можуть бути розцінені як додаткове благо згідно з національним законодавством (єдиний соціальний внесок (ЄСВ), інші податки);</w:t>
      </w:r>
    </w:p>
    <w:p w14:paraId="3BA11B53" w14:textId="59FDD9C0" w:rsidR="00A806DD" w:rsidRPr="00743C1F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товари/послуги, які забезпечують виконання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проєктної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діяльності (наприклад, </w:t>
      </w:r>
      <w:r w:rsidR="004115CC"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відрядження</w:t>
      </w: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юридичні послуги, проведення заходів з навчання персоналу</w:t>
      </w:r>
      <w:r w:rsidR="00CB406C"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1A0D6C50" w14:textId="4859E7F0" w:rsidR="00A806DD" w:rsidRPr="00743C1F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адміністративні витрати організації (банківська комісія, оренда приміщення, комунальні послуги, витрати на інтернет-зв'язок, канцелярські товари для офісу тощо).</w:t>
      </w:r>
    </w:p>
    <w:p w14:paraId="2C4171AB" w14:textId="70B6FFEF" w:rsidR="00A806DD" w:rsidRPr="00743C1F" w:rsidRDefault="00A806DD" w:rsidP="000236C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Пріоритетом є бюджетування програмної діяльності. Адміністративні витрати, в т.ч. заробітна плата штатних працівників та інших працівників, які виконують адміністративні функції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з урахуванням всіх видатків, мають бути обґрунтованими та не перевищувати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проєктні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витрати.</w:t>
      </w:r>
    </w:p>
    <w:p w14:paraId="20A534F5" w14:textId="300AFF83" w:rsidR="003B15A6" w:rsidRPr="00743C1F" w:rsidRDefault="003B15A6" w:rsidP="00A806D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743C1F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участі в цьому конкурсі не допускаються такі організації:</w:t>
      </w:r>
    </w:p>
    <w:p w14:paraId="15E33772" w14:textId="77777777" w:rsidR="003B15A6" w:rsidRPr="00743C1F" w:rsidRDefault="003B15A6" w:rsidP="003B15A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 xml:space="preserve">організації, які неналежно використовували кошти USAID у минулому; </w:t>
      </w:r>
    </w:p>
    <w:p w14:paraId="3A77D730" w14:textId="77777777" w:rsidR="003B15A6" w:rsidRPr="00743C1F" w:rsidRDefault="003B15A6" w:rsidP="003B15A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 xml:space="preserve">політичні партії, угрупування, установи або їх дочірні й афілійовані організації; </w:t>
      </w:r>
    </w:p>
    <w:p w14:paraId="40B7204C" w14:textId="77777777" w:rsidR="003B15A6" w:rsidRPr="00743C1F" w:rsidRDefault="003B15A6" w:rsidP="003B15A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 xml:space="preserve">організації, що пропагують або втілюють антидемократичну політику чи займаються незаконною діяльністю; </w:t>
      </w:r>
    </w:p>
    <w:p w14:paraId="6980C8C9" w14:textId="77777777" w:rsidR="003B15A6" w:rsidRPr="00743C1F" w:rsidRDefault="003B15A6" w:rsidP="003B15A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 xml:space="preserve">організації, внесені до додаткових списків фізичних або юридичних осіб, яким заборонено надавати допомогу, що можуть бути надані USAID; </w:t>
      </w:r>
    </w:p>
    <w:p w14:paraId="745040CD" w14:textId="640C4FE4" w:rsidR="003B15A6" w:rsidRPr="00743C1F" w:rsidRDefault="003B15A6" w:rsidP="00A806DD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 xml:space="preserve">організації, внесені до Списку виключень у Системі управління грантами та субпідрядами (SAM); </w:t>
      </w:r>
    </w:p>
    <w:p w14:paraId="151789E8" w14:textId="0608EEE1" w:rsidR="003B15A6" w:rsidRPr="00743C1F" w:rsidRDefault="003B15A6" w:rsidP="00BB6047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>до Списку осіб особливих категорій (SDN) і Списку заборонених осіб, який розробляє</w:t>
      </w:r>
      <w:r w:rsidR="00774325" w:rsidRPr="00743C1F">
        <w:rPr>
          <w:rFonts w:ascii="Times New Roman" w:hAnsi="Times New Roman" w:cs="Times New Roman"/>
          <w:sz w:val="24"/>
          <w:szCs w:val="24"/>
        </w:rPr>
        <w:t xml:space="preserve"> </w:t>
      </w:r>
      <w:r w:rsidRPr="00743C1F">
        <w:rPr>
          <w:rFonts w:ascii="Times New Roman" w:hAnsi="Times New Roman" w:cs="Times New Roman"/>
          <w:sz w:val="24"/>
          <w:szCs w:val="24"/>
        </w:rPr>
        <w:t xml:space="preserve">Казначейство США для Управління з контролю за іноземними активами, також відомий як «Список OFAC» (доступний онлайн: </w:t>
      </w:r>
      <w:hyperlink r:id="rId13" w:history="1">
        <w:r w:rsidRPr="00743C1F">
          <w:rPr>
            <w:rStyle w:val="a4"/>
            <w:rFonts w:ascii="Times New Roman" w:hAnsi="Times New Roman" w:cs="Times New Roman"/>
            <w:sz w:val="24"/>
            <w:szCs w:val="24"/>
          </w:rPr>
          <w:t>http://www.treasury.gov/resource</w:t>
        </w:r>
      </w:hyperlink>
      <w:r w:rsidRPr="00743C1F">
        <w:rPr>
          <w:rFonts w:ascii="Times New Roman" w:hAnsi="Times New Roman" w:cs="Times New Roman"/>
          <w:sz w:val="24"/>
          <w:szCs w:val="24"/>
        </w:rPr>
        <w:t xml:space="preserve"> center/sanctions/SDNList/Pages/default.as 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D5CAE54" w14:textId="77777777" w:rsidR="003B15A6" w:rsidRPr="00743C1F" w:rsidRDefault="003B15A6" w:rsidP="003B15A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>до Зведеного списку Ради безпеки Організації Об'єднаних Націй (доступний онлайн: https://www.un.org/securitycouncil/content /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un-sc-consolidated-list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02B9FD7" w14:textId="656340FB" w:rsidR="003B15A6" w:rsidRPr="00743C1F" w:rsidRDefault="003B15A6" w:rsidP="003B15A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>організації, що відмовляються підписувати всі необхідні засвідчення та гарантії.</w:t>
      </w:r>
    </w:p>
    <w:p w14:paraId="0C69431F" w14:textId="77777777" w:rsidR="00A806DD" w:rsidRPr="00743C1F" w:rsidRDefault="00A806DD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40B129" w14:textId="77777777" w:rsidR="00A806DD" w:rsidRPr="00743C1F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Заборонено за кошти гранту здійснювати наступні закупівлі товарів та послуг: </w:t>
      </w:r>
    </w:p>
    <w:p w14:paraId="75D954DF" w14:textId="77777777" w:rsidR="00A806DD" w:rsidRPr="00743C1F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520DACF" w14:textId="77777777" w:rsidR="00CC2FC6" w:rsidRPr="00743C1F" w:rsidRDefault="00CC2FC6" w:rsidP="00CC2FC6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>товари чи послуги, які використовуватимуться переважно для військових цілей або для підтримання поліції чи інших правоохоронних органів;</w:t>
      </w:r>
    </w:p>
    <w:p w14:paraId="38771948" w14:textId="77777777" w:rsidR="00CC2FC6" w:rsidRPr="00743C1F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>обладнання для розвідувальної діяльності;</w:t>
      </w:r>
    </w:p>
    <w:p w14:paraId="4C11BB8B" w14:textId="77777777" w:rsidR="00CC2FC6" w:rsidRPr="00743C1F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>обладнання, дослідження та/або послуги, пов’язані з примусовою стерилізацією чи проведенням аборту як методу планування сім’ї;</w:t>
      </w:r>
    </w:p>
    <w:p w14:paraId="5F549BE9" w14:textId="77777777" w:rsidR="00CC2FC6" w:rsidRPr="00743C1F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>обладнання для азартних ігор, матеріали для гральних закладів або будь-яких готелів, казино чи приміщень, у яких розміщено або заплановано розмістити гральні заклади;</w:t>
      </w:r>
    </w:p>
    <w:p w14:paraId="4BEE205F" w14:textId="77777777" w:rsidR="00CC2FC6" w:rsidRPr="00743C1F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>діяльність, яка значно погіршує стан національних парків чи подібних охоронюваних територій або сприяє появі екзотичних рослин чи тварин на таких територіях; або</w:t>
      </w:r>
    </w:p>
    <w:p w14:paraId="095CB77A" w14:textId="77777777" w:rsidR="00CC2FC6" w:rsidRPr="00743C1F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>створення або розвиток будь-якої зони експертної переробки чи спеціальної зони, де законодавство про працю, довкілля, податки, тарифи та/або безпеку країни, у якій відбувається така діяльність, не буде застосовним;</w:t>
      </w:r>
    </w:p>
    <w:p w14:paraId="44F78A6D" w14:textId="77777777" w:rsidR="00CC2FC6" w:rsidRPr="00743C1F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>фармацевтичні засоби;</w:t>
      </w:r>
    </w:p>
    <w:p w14:paraId="67865FE5" w14:textId="77777777" w:rsidR="00CC2FC6" w:rsidRPr="00743C1F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>лісозаготівельне обладнання;</w:t>
      </w:r>
    </w:p>
    <w:p w14:paraId="2919CE67" w14:textId="77777777" w:rsidR="00CC2FC6" w:rsidRPr="00743C1F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>предмети розкоші (зокрема алкогольні напої та ювелірні вироби);</w:t>
      </w:r>
    </w:p>
    <w:p w14:paraId="5E1002B5" w14:textId="77777777" w:rsidR="00CC2FC6" w:rsidRPr="00743C1F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>закупівлю ІТ-товарів і послуг у компаній «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Kaspersky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Huawei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>» та «ZTE» за кошти Уряду США. Закупівлю додатків громадської безпеки або спостереження, вироблених компаніями «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Hytera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Communications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Dahua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>» або «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Hangzhou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Hikvision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>» (або будь-яким дочірнім чи афілійованим підприємством цих компаній);</w:t>
      </w:r>
    </w:p>
    <w:p w14:paraId="2744C9EC" w14:textId="6A29EB1E" w:rsidR="00CC2FC6" w:rsidRPr="00743C1F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C1F">
        <w:rPr>
          <w:rFonts w:ascii="Times New Roman" w:hAnsi="Times New Roman" w:cs="Times New Roman"/>
          <w:sz w:val="24"/>
          <w:szCs w:val="24"/>
        </w:rPr>
        <w:t xml:space="preserve">діяльність, яка, як відомо </w:t>
      </w:r>
      <w:proofErr w:type="spellStart"/>
      <w:r w:rsidRPr="00743C1F">
        <w:rPr>
          <w:rFonts w:ascii="Times New Roman" w:hAnsi="Times New Roman" w:cs="Times New Roman"/>
          <w:sz w:val="24"/>
          <w:szCs w:val="24"/>
        </w:rPr>
        <w:t>грантоотримувачу</w:t>
      </w:r>
      <w:proofErr w:type="spellEnd"/>
      <w:r w:rsidRPr="00743C1F">
        <w:rPr>
          <w:rFonts w:ascii="Times New Roman" w:hAnsi="Times New Roman" w:cs="Times New Roman"/>
          <w:sz w:val="24"/>
          <w:szCs w:val="24"/>
        </w:rPr>
        <w:t>, може сприяти порушенню міжнародних чи місцевих прав працівників.</w:t>
      </w:r>
    </w:p>
    <w:p w14:paraId="48E3E80D" w14:textId="77777777" w:rsidR="00A806DD" w:rsidRPr="00743C1F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A4A26EB" w14:textId="77777777" w:rsidR="00A806DD" w:rsidRPr="00743C1F" w:rsidRDefault="00A806DD" w:rsidP="00A806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Стандартні умови</w:t>
      </w:r>
    </w:p>
    <w:p w14:paraId="2C005926" w14:textId="3E5636B3" w:rsidR="00A806DD" w:rsidRPr="00743C1F" w:rsidRDefault="00CB406C" w:rsidP="00D8336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Для грантів, наданих в результаті цього конкурсу, в необхідному застосовному обсязі будуть чинними </w:t>
      </w:r>
      <w:hyperlink r:id="rId14">
        <w:r w:rsidRPr="00743C1F">
          <w:rPr>
            <w:rStyle w:val="a4"/>
            <w:rFonts w:ascii="Times New Roman" w:eastAsia="Verdana" w:hAnsi="Times New Roman" w:cs="Times New Roman"/>
            <w:sz w:val="24"/>
            <w:szCs w:val="24"/>
            <w:lang w:val="uk-UA"/>
          </w:rPr>
          <w:t>Стандартні умови USAID для НУО, зареєстрованих за межами США</w:t>
        </w:r>
      </w:hyperlink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468E418" w14:textId="77777777" w:rsidR="00A806DD" w:rsidRPr="00743C1F" w:rsidRDefault="00A806DD" w:rsidP="00A806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Дозвіл на використання та розголошення інформації</w:t>
      </w:r>
    </w:p>
    <w:p w14:paraId="7EC8C664" w14:textId="6B47D8D4" w:rsidR="00A806DD" w:rsidRPr="00743C1F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Подаючи заявку за цим оголошенням, заявник надає згоду на розкриття інформації, що міститься в поданих ним документах, експертам, залученим до оцінки у процесі відбору. Звертаємо вашу увагу на те, що всі експерти несуть зобов’язання за угодами про нерозголошення інформації.</w:t>
      </w:r>
    </w:p>
    <w:p w14:paraId="776FF026" w14:textId="77777777" w:rsidR="00A806DD" w:rsidRPr="00743C1F" w:rsidRDefault="00A806DD" w:rsidP="00A806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Відмова від відповідальності</w:t>
      </w:r>
    </w:p>
    <w:p w14:paraId="1C5CCB88" w14:textId="77777777" w:rsidR="00A806DD" w:rsidRPr="00743C1F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Спілка не надає заявникам компенсації витрат, пов’язаних з участю в  конкурсі.</w:t>
      </w:r>
    </w:p>
    <w:p w14:paraId="2EF8DF46" w14:textId="77777777" w:rsidR="00A806DD" w:rsidRPr="00743C1F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Задля сприяння конкуренції, Спілка залишає за собою право не зважати на деякі невеликі недоліки у заявках, які можуть бути виправлені до того, як буде визначено присудження грантів.</w:t>
      </w:r>
    </w:p>
    <w:p w14:paraId="1C9A431E" w14:textId="77777777" w:rsidR="00A806DD" w:rsidRPr="00743C1F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Спілка може без повідомлення заявника звертатись по відгуки  результатів  реалізації попередніх </w:t>
      </w:r>
      <w:proofErr w:type="spellStart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проєктів</w:t>
      </w:r>
      <w:proofErr w:type="spellEnd"/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інших донорів.</w:t>
      </w:r>
    </w:p>
    <w:p w14:paraId="2F0370CB" w14:textId="061592E8" w:rsidR="00A806DD" w:rsidRPr="00743C1F" w:rsidRDefault="00A806DD" w:rsidP="00902C94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Спілка також залишає за собою право звертатися до інших джерел інформації щодо попередніх  результатів діяльності заявника, не зазначених ним у заявці.</w:t>
      </w:r>
    </w:p>
    <w:p w14:paraId="320AF955" w14:textId="77777777" w:rsidR="00A806DD" w:rsidRPr="00DE7CFB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A0C06B2" w14:textId="77777777" w:rsidR="00A806DD" w:rsidRPr="00DE7CFB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A69CC2E" w14:textId="77777777" w:rsidR="00A806DD" w:rsidRPr="00DE7CFB" w:rsidRDefault="00A806DD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CA0FA9" w14:textId="27B10ED7" w:rsidR="69922492" w:rsidRPr="00DE7CFB" w:rsidRDefault="69922492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69922492" w:rsidRPr="00DE7CFB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6E73" w14:textId="77777777" w:rsidR="00B952BD" w:rsidRDefault="00B952BD" w:rsidP="00BD306E">
      <w:pPr>
        <w:spacing w:after="0" w:line="240" w:lineRule="auto"/>
      </w:pPr>
      <w:r>
        <w:separator/>
      </w:r>
    </w:p>
  </w:endnote>
  <w:endnote w:type="continuationSeparator" w:id="0">
    <w:p w14:paraId="1FCC8330" w14:textId="77777777" w:rsidR="00B952BD" w:rsidRDefault="00B952BD" w:rsidP="00BD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2A92" w14:textId="77777777" w:rsidR="00B952BD" w:rsidRDefault="00B952BD" w:rsidP="00BD306E">
      <w:pPr>
        <w:spacing w:after="0" w:line="240" w:lineRule="auto"/>
      </w:pPr>
      <w:r>
        <w:separator/>
      </w:r>
    </w:p>
  </w:footnote>
  <w:footnote w:type="continuationSeparator" w:id="0">
    <w:p w14:paraId="07433185" w14:textId="77777777" w:rsidR="00B952BD" w:rsidRDefault="00B952BD" w:rsidP="00BD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7A01" w14:textId="77777777" w:rsidR="00BD306E" w:rsidRDefault="006D5A18">
    <w:pPr>
      <w:pStyle w:val="a7"/>
    </w:pPr>
    <w:r w:rsidRPr="007410DE">
      <w:rPr>
        <w:rFonts w:cs="Arial"/>
        <w:noProof/>
      </w:rPr>
      <w:object w:dxaOrig="2400" w:dyaOrig="1275" w14:anchorId="11E7DA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16.5pt;height:58.5pt;mso-width-percent:0;mso-height-percent:0;mso-width-percent:0;mso-height-percent:0">
          <v:imagedata r:id="rId1" o:title=""/>
        </v:shape>
        <o:OLEObject Type="Embed" ProgID="PBrush" ShapeID="_x0000_i1025" DrawAspect="Content" ObjectID="_175853039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A13"/>
    <w:multiLevelType w:val="multilevel"/>
    <w:tmpl w:val="4C387EF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6008C6"/>
    <w:multiLevelType w:val="hybridMultilevel"/>
    <w:tmpl w:val="82CAFA50"/>
    <w:lvl w:ilvl="0" w:tplc="750CF2DC">
      <w:start w:val="1"/>
      <w:numFmt w:val="upperRoman"/>
      <w:lvlText w:val="%1."/>
      <w:lvlJc w:val="right"/>
      <w:pPr>
        <w:ind w:left="720" w:hanging="360"/>
      </w:pPr>
    </w:lvl>
    <w:lvl w:ilvl="1" w:tplc="94EEE4AC">
      <w:start w:val="1"/>
      <w:numFmt w:val="lowerLetter"/>
      <w:lvlText w:val="%2."/>
      <w:lvlJc w:val="left"/>
      <w:pPr>
        <w:ind w:left="1440" w:hanging="360"/>
      </w:pPr>
    </w:lvl>
    <w:lvl w:ilvl="2" w:tplc="4A088D3C">
      <w:start w:val="1"/>
      <w:numFmt w:val="lowerRoman"/>
      <w:lvlText w:val="%3."/>
      <w:lvlJc w:val="right"/>
      <w:pPr>
        <w:ind w:left="2160" w:hanging="180"/>
      </w:pPr>
    </w:lvl>
    <w:lvl w:ilvl="3" w:tplc="9EDE3ED6">
      <w:start w:val="1"/>
      <w:numFmt w:val="decimal"/>
      <w:lvlText w:val="%4."/>
      <w:lvlJc w:val="left"/>
      <w:pPr>
        <w:ind w:left="2880" w:hanging="360"/>
      </w:pPr>
    </w:lvl>
    <w:lvl w:ilvl="4" w:tplc="001EBA64">
      <w:start w:val="1"/>
      <w:numFmt w:val="lowerLetter"/>
      <w:lvlText w:val="%5."/>
      <w:lvlJc w:val="left"/>
      <w:pPr>
        <w:ind w:left="3600" w:hanging="360"/>
      </w:pPr>
    </w:lvl>
    <w:lvl w:ilvl="5" w:tplc="17CC3A46">
      <w:start w:val="1"/>
      <w:numFmt w:val="lowerRoman"/>
      <w:lvlText w:val="%6."/>
      <w:lvlJc w:val="right"/>
      <w:pPr>
        <w:ind w:left="4320" w:hanging="180"/>
      </w:pPr>
    </w:lvl>
    <w:lvl w:ilvl="6" w:tplc="1FC420C8">
      <w:start w:val="1"/>
      <w:numFmt w:val="decimal"/>
      <w:lvlText w:val="%7."/>
      <w:lvlJc w:val="left"/>
      <w:pPr>
        <w:ind w:left="5040" w:hanging="360"/>
      </w:pPr>
    </w:lvl>
    <w:lvl w:ilvl="7" w:tplc="10DAC9A6">
      <w:start w:val="1"/>
      <w:numFmt w:val="lowerLetter"/>
      <w:lvlText w:val="%8."/>
      <w:lvlJc w:val="left"/>
      <w:pPr>
        <w:ind w:left="5760" w:hanging="360"/>
      </w:pPr>
    </w:lvl>
    <w:lvl w:ilvl="8" w:tplc="69A09C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3D44"/>
    <w:multiLevelType w:val="multilevel"/>
    <w:tmpl w:val="3D98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F5170"/>
    <w:multiLevelType w:val="hybridMultilevel"/>
    <w:tmpl w:val="F1DC25C6"/>
    <w:lvl w:ilvl="0" w:tplc="3F4CB994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65EE"/>
    <w:multiLevelType w:val="hybridMultilevel"/>
    <w:tmpl w:val="EDEADDDA"/>
    <w:lvl w:ilvl="0" w:tplc="85EAF0E6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6D026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A3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E6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6A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42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43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02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4E3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813AC"/>
    <w:multiLevelType w:val="hybridMultilevel"/>
    <w:tmpl w:val="D89219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54943"/>
    <w:multiLevelType w:val="hybridMultilevel"/>
    <w:tmpl w:val="AC4C811A"/>
    <w:lvl w:ilvl="0" w:tplc="74CC50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E6728"/>
    <w:multiLevelType w:val="hybridMultilevel"/>
    <w:tmpl w:val="77D0F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C77E7"/>
    <w:multiLevelType w:val="hybridMultilevel"/>
    <w:tmpl w:val="C02C06D0"/>
    <w:lvl w:ilvl="0" w:tplc="AB3E0442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CE2C1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0F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C4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6F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6B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0C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8E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20308"/>
    <w:multiLevelType w:val="hybridMultilevel"/>
    <w:tmpl w:val="01EAA4E0"/>
    <w:lvl w:ilvl="0" w:tplc="74CC50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2BF2"/>
    <w:multiLevelType w:val="hybridMultilevel"/>
    <w:tmpl w:val="166C73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64F5A"/>
    <w:multiLevelType w:val="multilevel"/>
    <w:tmpl w:val="FA543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25632F"/>
    <w:multiLevelType w:val="hybridMultilevel"/>
    <w:tmpl w:val="01403656"/>
    <w:lvl w:ilvl="0" w:tplc="ED9AC8A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B5590"/>
    <w:multiLevelType w:val="hybridMultilevel"/>
    <w:tmpl w:val="7058516E"/>
    <w:lvl w:ilvl="0" w:tplc="780E2CB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7AD08"/>
    <w:multiLevelType w:val="hybridMultilevel"/>
    <w:tmpl w:val="FD24DBB2"/>
    <w:lvl w:ilvl="0" w:tplc="FA8EAAB4">
      <w:start w:val="1"/>
      <w:numFmt w:val="upperLetter"/>
      <w:lvlText w:val="%1."/>
      <w:lvlJc w:val="left"/>
      <w:pPr>
        <w:ind w:left="720" w:hanging="360"/>
      </w:pPr>
    </w:lvl>
    <w:lvl w:ilvl="1" w:tplc="33C0AB4A">
      <w:start w:val="1"/>
      <w:numFmt w:val="lowerLetter"/>
      <w:lvlText w:val="%2."/>
      <w:lvlJc w:val="left"/>
      <w:pPr>
        <w:ind w:left="1440" w:hanging="360"/>
      </w:pPr>
    </w:lvl>
    <w:lvl w:ilvl="2" w:tplc="CEB45362">
      <w:start w:val="1"/>
      <w:numFmt w:val="lowerRoman"/>
      <w:lvlText w:val="%3."/>
      <w:lvlJc w:val="right"/>
      <w:pPr>
        <w:ind w:left="2160" w:hanging="180"/>
      </w:pPr>
    </w:lvl>
    <w:lvl w:ilvl="3" w:tplc="412A3BD8">
      <w:start w:val="1"/>
      <w:numFmt w:val="decimal"/>
      <w:lvlText w:val="%4."/>
      <w:lvlJc w:val="left"/>
      <w:pPr>
        <w:ind w:left="2880" w:hanging="360"/>
      </w:pPr>
    </w:lvl>
    <w:lvl w:ilvl="4" w:tplc="5B1A5988">
      <w:start w:val="1"/>
      <w:numFmt w:val="lowerLetter"/>
      <w:lvlText w:val="%5."/>
      <w:lvlJc w:val="left"/>
      <w:pPr>
        <w:ind w:left="3600" w:hanging="360"/>
      </w:pPr>
    </w:lvl>
    <w:lvl w:ilvl="5" w:tplc="1334F9C0">
      <w:start w:val="1"/>
      <w:numFmt w:val="lowerRoman"/>
      <w:lvlText w:val="%6."/>
      <w:lvlJc w:val="right"/>
      <w:pPr>
        <w:ind w:left="4320" w:hanging="180"/>
      </w:pPr>
    </w:lvl>
    <w:lvl w:ilvl="6" w:tplc="C5E43602">
      <w:start w:val="1"/>
      <w:numFmt w:val="decimal"/>
      <w:lvlText w:val="%7."/>
      <w:lvlJc w:val="left"/>
      <w:pPr>
        <w:ind w:left="5040" w:hanging="360"/>
      </w:pPr>
    </w:lvl>
    <w:lvl w:ilvl="7" w:tplc="76F2BFC2">
      <w:start w:val="1"/>
      <w:numFmt w:val="lowerLetter"/>
      <w:lvlText w:val="%8."/>
      <w:lvlJc w:val="left"/>
      <w:pPr>
        <w:ind w:left="5760" w:hanging="360"/>
      </w:pPr>
    </w:lvl>
    <w:lvl w:ilvl="8" w:tplc="0C102DA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E0045"/>
    <w:multiLevelType w:val="hybridMultilevel"/>
    <w:tmpl w:val="1A1269CE"/>
    <w:lvl w:ilvl="0" w:tplc="2D4E68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65A"/>
    <w:multiLevelType w:val="hybridMultilevel"/>
    <w:tmpl w:val="73CAAF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D686B"/>
    <w:multiLevelType w:val="hybridMultilevel"/>
    <w:tmpl w:val="32C2A0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4B7EB5"/>
    <w:multiLevelType w:val="hybridMultilevel"/>
    <w:tmpl w:val="5132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10D13"/>
    <w:multiLevelType w:val="multilevel"/>
    <w:tmpl w:val="ABBA7A2C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E433E7"/>
    <w:multiLevelType w:val="hybridMultilevel"/>
    <w:tmpl w:val="DD7A1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E5887"/>
    <w:multiLevelType w:val="hybridMultilevel"/>
    <w:tmpl w:val="183E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D3E1F"/>
    <w:multiLevelType w:val="hybridMultilevel"/>
    <w:tmpl w:val="CBC870A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3340A1"/>
    <w:multiLevelType w:val="hybridMultilevel"/>
    <w:tmpl w:val="139E16FC"/>
    <w:lvl w:ilvl="0" w:tplc="3F4CB994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12110"/>
    <w:multiLevelType w:val="hybridMultilevel"/>
    <w:tmpl w:val="540A52F4"/>
    <w:lvl w:ilvl="0" w:tplc="C9A2DDA2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2DB61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E8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6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8F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0B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F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00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5C5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446F8"/>
    <w:multiLevelType w:val="hybridMultilevel"/>
    <w:tmpl w:val="B89CEC78"/>
    <w:lvl w:ilvl="0" w:tplc="2D4E68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917A9"/>
    <w:multiLevelType w:val="hybridMultilevel"/>
    <w:tmpl w:val="B6B257DA"/>
    <w:lvl w:ilvl="0" w:tplc="2D4E68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AA6EB"/>
    <w:multiLevelType w:val="hybridMultilevel"/>
    <w:tmpl w:val="A2089A74"/>
    <w:lvl w:ilvl="0" w:tplc="03E47C96">
      <w:start w:val="1"/>
      <w:numFmt w:val="decimal"/>
      <w:lvlText w:val="%1."/>
      <w:lvlJc w:val="left"/>
      <w:pPr>
        <w:ind w:left="720" w:hanging="360"/>
      </w:pPr>
    </w:lvl>
    <w:lvl w:ilvl="1" w:tplc="0268A0AA">
      <w:start w:val="1"/>
      <w:numFmt w:val="lowerLetter"/>
      <w:lvlText w:val="%2."/>
      <w:lvlJc w:val="left"/>
      <w:pPr>
        <w:ind w:left="1440" w:hanging="360"/>
      </w:pPr>
    </w:lvl>
    <w:lvl w:ilvl="2" w:tplc="2E4CA80A">
      <w:start w:val="1"/>
      <w:numFmt w:val="lowerRoman"/>
      <w:lvlText w:val="%3."/>
      <w:lvlJc w:val="right"/>
      <w:pPr>
        <w:ind w:left="2160" w:hanging="180"/>
      </w:pPr>
    </w:lvl>
    <w:lvl w:ilvl="3" w:tplc="247AA1A6">
      <w:start w:val="1"/>
      <w:numFmt w:val="decimal"/>
      <w:lvlText w:val="%4."/>
      <w:lvlJc w:val="left"/>
      <w:pPr>
        <w:ind w:left="2880" w:hanging="360"/>
      </w:pPr>
    </w:lvl>
    <w:lvl w:ilvl="4" w:tplc="F9802E16">
      <w:start w:val="1"/>
      <w:numFmt w:val="lowerLetter"/>
      <w:lvlText w:val="%5."/>
      <w:lvlJc w:val="left"/>
      <w:pPr>
        <w:ind w:left="3600" w:hanging="360"/>
      </w:pPr>
    </w:lvl>
    <w:lvl w:ilvl="5" w:tplc="73F8689E">
      <w:start w:val="1"/>
      <w:numFmt w:val="lowerRoman"/>
      <w:lvlText w:val="%6."/>
      <w:lvlJc w:val="right"/>
      <w:pPr>
        <w:ind w:left="4320" w:hanging="180"/>
      </w:pPr>
    </w:lvl>
    <w:lvl w:ilvl="6" w:tplc="00E2540E">
      <w:start w:val="1"/>
      <w:numFmt w:val="decimal"/>
      <w:lvlText w:val="%7."/>
      <w:lvlJc w:val="left"/>
      <w:pPr>
        <w:ind w:left="5040" w:hanging="360"/>
      </w:pPr>
    </w:lvl>
    <w:lvl w:ilvl="7" w:tplc="FB5A56C0">
      <w:start w:val="1"/>
      <w:numFmt w:val="lowerLetter"/>
      <w:lvlText w:val="%8."/>
      <w:lvlJc w:val="left"/>
      <w:pPr>
        <w:ind w:left="5760" w:hanging="360"/>
      </w:pPr>
    </w:lvl>
    <w:lvl w:ilvl="8" w:tplc="94C0018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E59AF"/>
    <w:multiLevelType w:val="hybridMultilevel"/>
    <w:tmpl w:val="8B9EA3EA"/>
    <w:lvl w:ilvl="0" w:tplc="74CC50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01A7C"/>
    <w:multiLevelType w:val="multilevel"/>
    <w:tmpl w:val="84D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CCF34A"/>
    <w:multiLevelType w:val="hybridMultilevel"/>
    <w:tmpl w:val="1F1012FA"/>
    <w:lvl w:ilvl="0" w:tplc="593E32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3C12F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41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22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E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6B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44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0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ED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8458A"/>
    <w:multiLevelType w:val="multilevel"/>
    <w:tmpl w:val="036C9728"/>
    <w:lvl w:ilvl="0">
      <w:start w:val="1"/>
      <w:numFmt w:val="bullet"/>
      <w:lvlText w:val="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52DE6656"/>
    <w:multiLevelType w:val="multilevel"/>
    <w:tmpl w:val="3BE66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5A62B6"/>
    <w:multiLevelType w:val="hybridMultilevel"/>
    <w:tmpl w:val="4E6E3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703A3"/>
    <w:multiLevelType w:val="hybridMultilevel"/>
    <w:tmpl w:val="7F067BDC"/>
    <w:lvl w:ilvl="0" w:tplc="2D4E68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FCB5D"/>
    <w:multiLevelType w:val="hybridMultilevel"/>
    <w:tmpl w:val="635294BA"/>
    <w:lvl w:ilvl="0" w:tplc="4656A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64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4D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8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46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6C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A0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89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CA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1645FA"/>
    <w:multiLevelType w:val="hybridMultilevel"/>
    <w:tmpl w:val="8B98D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5791B"/>
    <w:multiLevelType w:val="multilevel"/>
    <w:tmpl w:val="9A50813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5D6B268F"/>
    <w:multiLevelType w:val="multilevel"/>
    <w:tmpl w:val="119A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3A20EC"/>
    <w:multiLevelType w:val="multilevel"/>
    <w:tmpl w:val="89DC51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FF5B3D"/>
    <w:multiLevelType w:val="multilevel"/>
    <w:tmpl w:val="10DADDE6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82074A"/>
    <w:multiLevelType w:val="multilevel"/>
    <w:tmpl w:val="1068ED76"/>
    <w:lvl w:ilvl="0">
      <w:start w:val="1"/>
      <w:numFmt w:val="bullet"/>
      <w:lvlText w:val="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65930252"/>
    <w:multiLevelType w:val="hybridMultilevel"/>
    <w:tmpl w:val="85D24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700BC"/>
    <w:multiLevelType w:val="hybridMultilevel"/>
    <w:tmpl w:val="D6AC0A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4D3129"/>
    <w:multiLevelType w:val="hybridMultilevel"/>
    <w:tmpl w:val="4D149218"/>
    <w:lvl w:ilvl="0" w:tplc="2D4E68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A4178B"/>
    <w:multiLevelType w:val="hybridMultilevel"/>
    <w:tmpl w:val="A7D078FE"/>
    <w:lvl w:ilvl="0" w:tplc="2D4E68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D40A11"/>
    <w:multiLevelType w:val="hybridMultilevel"/>
    <w:tmpl w:val="40BAA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EC1F3D"/>
    <w:multiLevelType w:val="hybridMultilevel"/>
    <w:tmpl w:val="1FDE13F6"/>
    <w:lvl w:ilvl="0" w:tplc="42DC6B3A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0B7A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AC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4C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EE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662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68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6B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6D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C028A9"/>
    <w:multiLevelType w:val="hybridMultilevel"/>
    <w:tmpl w:val="C5B42ABC"/>
    <w:lvl w:ilvl="0" w:tplc="D0A4BDF6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16426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0C2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61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40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01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06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E7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C4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3D3707"/>
    <w:multiLevelType w:val="multilevel"/>
    <w:tmpl w:val="9D10F204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04C6FDE"/>
    <w:multiLevelType w:val="hybridMultilevel"/>
    <w:tmpl w:val="724C46E4"/>
    <w:lvl w:ilvl="0" w:tplc="74CC50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787378"/>
    <w:multiLevelType w:val="hybridMultilevel"/>
    <w:tmpl w:val="1766E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4C483D"/>
    <w:multiLevelType w:val="hybridMultilevel"/>
    <w:tmpl w:val="FC0C08BA"/>
    <w:lvl w:ilvl="0" w:tplc="2D4E68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1A14C9"/>
    <w:multiLevelType w:val="hybridMultilevel"/>
    <w:tmpl w:val="396EB2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C30C69"/>
    <w:multiLevelType w:val="multilevel"/>
    <w:tmpl w:val="FA543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7C9072F5"/>
    <w:multiLevelType w:val="hybridMultilevel"/>
    <w:tmpl w:val="F418EC54"/>
    <w:lvl w:ilvl="0" w:tplc="74CC50B6">
      <w:start w:val="1"/>
      <w:numFmt w:val="bullet"/>
      <w:lvlText w:val=""/>
      <w:lvlJc w:val="left"/>
      <w:pPr>
        <w:ind w:left="14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633049385">
    <w:abstractNumId w:val="47"/>
  </w:num>
  <w:num w:numId="2" w16cid:durableId="1461996589">
    <w:abstractNumId w:val="4"/>
  </w:num>
  <w:num w:numId="3" w16cid:durableId="1580871304">
    <w:abstractNumId w:val="8"/>
  </w:num>
  <w:num w:numId="4" w16cid:durableId="972444846">
    <w:abstractNumId w:val="48"/>
  </w:num>
  <w:num w:numId="5" w16cid:durableId="634027014">
    <w:abstractNumId w:val="35"/>
  </w:num>
  <w:num w:numId="6" w16cid:durableId="366561536">
    <w:abstractNumId w:val="24"/>
  </w:num>
  <w:num w:numId="7" w16cid:durableId="879240677">
    <w:abstractNumId w:val="1"/>
  </w:num>
  <w:num w:numId="8" w16cid:durableId="333076467">
    <w:abstractNumId w:val="14"/>
  </w:num>
  <w:num w:numId="9" w16cid:durableId="2140029868">
    <w:abstractNumId w:val="27"/>
  </w:num>
  <w:num w:numId="10" w16cid:durableId="1966158821">
    <w:abstractNumId w:val="30"/>
  </w:num>
  <w:num w:numId="11" w16cid:durableId="942342522">
    <w:abstractNumId w:val="34"/>
  </w:num>
  <w:num w:numId="12" w16cid:durableId="676155972">
    <w:abstractNumId w:val="13"/>
  </w:num>
  <w:num w:numId="13" w16cid:durableId="2077320917">
    <w:abstractNumId w:val="17"/>
  </w:num>
  <w:num w:numId="14" w16cid:durableId="1208569006">
    <w:abstractNumId w:val="29"/>
  </w:num>
  <w:num w:numId="15" w16cid:durableId="1282298441">
    <w:abstractNumId w:val="38"/>
  </w:num>
  <w:num w:numId="16" w16cid:durableId="1503544377">
    <w:abstractNumId w:val="2"/>
  </w:num>
  <w:num w:numId="17" w16cid:durableId="858858886">
    <w:abstractNumId w:val="21"/>
  </w:num>
  <w:num w:numId="18" w16cid:durableId="713233176">
    <w:abstractNumId w:val="51"/>
  </w:num>
  <w:num w:numId="19" w16cid:durableId="1725132907">
    <w:abstractNumId w:val="40"/>
  </w:num>
  <w:num w:numId="20" w16cid:durableId="1452356420">
    <w:abstractNumId w:val="39"/>
  </w:num>
  <w:num w:numId="21" w16cid:durableId="2064979152">
    <w:abstractNumId w:val="18"/>
  </w:num>
  <w:num w:numId="22" w16cid:durableId="1392075558">
    <w:abstractNumId w:val="42"/>
  </w:num>
  <w:num w:numId="23" w16cid:durableId="1887527087">
    <w:abstractNumId w:val="43"/>
  </w:num>
  <w:num w:numId="24" w16cid:durableId="1773545075">
    <w:abstractNumId w:val="10"/>
  </w:num>
  <w:num w:numId="25" w16cid:durableId="1923877811">
    <w:abstractNumId w:val="36"/>
  </w:num>
  <w:num w:numId="26" w16cid:durableId="1282301345">
    <w:abstractNumId w:val="15"/>
  </w:num>
  <w:num w:numId="27" w16cid:durableId="129519101">
    <w:abstractNumId w:val="26"/>
  </w:num>
  <w:num w:numId="28" w16cid:durableId="166091454">
    <w:abstractNumId w:val="23"/>
  </w:num>
  <w:num w:numId="29" w16cid:durableId="860050070">
    <w:abstractNumId w:val="46"/>
  </w:num>
  <w:num w:numId="30" w16cid:durableId="934560865">
    <w:abstractNumId w:val="3"/>
  </w:num>
  <w:num w:numId="31" w16cid:durableId="1443375274">
    <w:abstractNumId w:val="25"/>
  </w:num>
  <w:num w:numId="32" w16cid:durableId="102387811">
    <w:abstractNumId w:val="45"/>
  </w:num>
  <w:num w:numId="33" w16cid:durableId="1604266760">
    <w:abstractNumId w:val="44"/>
  </w:num>
  <w:num w:numId="34" w16cid:durableId="206457560">
    <w:abstractNumId w:val="52"/>
  </w:num>
  <w:num w:numId="35" w16cid:durableId="1679965647">
    <w:abstractNumId w:val="7"/>
  </w:num>
  <w:num w:numId="36" w16cid:durableId="1441684170">
    <w:abstractNumId w:val="50"/>
  </w:num>
  <w:num w:numId="37" w16cid:durableId="48695062">
    <w:abstractNumId w:val="49"/>
  </w:num>
  <w:num w:numId="38" w16cid:durableId="192882101">
    <w:abstractNumId w:val="0"/>
  </w:num>
  <w:num w:numId="39" w16cid:durableId="1432357508">
    <w:abstractNumId w:val="19"/>
  </w:num>
  <w:num w:numId="40" w16cid:durableId="204757798">
    <w:abstractNumId w:val="37"/>
  </w:num>
  <w:num w:numId="41" w16cid:durableId="2084376720">
    <w:abstractNumId w:val="31"/>
  </w:num>
  <w:num w:numId="42" w16cid:durableId="707798553">
    <w:abstractNumId w:val="53"/>
  </w:num>
  <w:num w:numId="43" w16cid:durableId="1454517043">
    <w:abstractNumId w:val="41"/>
  </w:num>
  <w:num w:numId="44" w16cid:durableId="1948536565">
    <w:abstractNumId w:val="9"/>
  </w:num>
  <w:num w:numId="45" w16cid:durableId="580677303">
    <w:abstractNumId w:val="16"/>
  </w:num>
  <w:num w:numId="46" w16cid:durableId="1754165108">
    <w:abstractNumId w:val="5"/>
  </w:num>
  <w:num w:numId="47" w16cid:durableId="254675879">
    <w:abstractNumId w:val="22"/>
  </w:num>
  <w:num w:numId="48" w16cid:durableId="926885554">
    <w:abstractNumId w:val="6"/>
  </w:num>
  <w:num w:numId="49" w16cid:durableId="645087002">
    <w:abstractNumId w:val="12"/>
  </w:num>
  <w:num w:numId="50" w16cid:durableId="518666745">
    <w:abstractNumId w:val="28"/>
  </w:num>
  <w:num w:numId="51" w16cid:durableId="1731340257">
    <w:abstractNumId w:val="32"/>
  </w:num>
  <w:num w:numId="52" w16cid:durableId="481777815">
    <w:abstractNumId w:val="33"/>
  </w:num>
  <w:num w:numId="53" w16cid:durableId="2044820988">
    <w:abstractNumId w:val="55"/>
  </w:num>
  <w:num w:numId="54" w16cid:durableId="883173367">
    <w:abstractNumId w:val="54"/>
  </w:num>
  <w:num w:numId="55" w16cid:durableId="524053258">
    <w:abstractNumId w:val="11"/>
  </w:num>
  <w:num w:numId="56" w16cid:durableId="4589550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AgILUwMDU3NzS1NLCyUdpeDU4uLM/DyQAsNaALVBzNosAAAA"/>
  </w:docVars>
  <w:rsids>
    <w:rsidRoot w:val="0015054A"/>
    <w:rsid w:val="00007FB8"/>
    <w:rsid w:val="000236CF"/>
    <w:rsid w:val="0003019A"/>
    <w:rsid w:val="0003176B"/>
    <w:rsid w:val="000B0798"/>
    <w:rsid w:val="000D03B2"/>
    <w:rsid w:val="000F6499"/>
    <w:rsid w:val="00114222"/>
    <w:rsid w:val="001154CB"/>
    <w:rsid w:val="00132967"/>
    <w:rsid w:val="001464BA"/>
    <w:rsid w:val="0015054A"/>
    <w:rsid w:val="00150DBC"/>
    <w:rsid w:val="00170C48"/>
    <w:rsid w:val="00174C45"/>
    <w:rsid w:val="00180028"/>
    <w:rsid w:val="001B5F20"/>
    <w:rsid w:val="001C7F96"/>
    <w:rsid w:val="001D1D65"/>
    <w:rsid w:val="001E0C71"/>
    <w:rsid w:val="0020327C"/>
    <w:rsid w:val="002173FF"/>
    <w:rsid w:val="0023221A"/>
    <w:rsid w:val="00236480"/>
    <w:rsid w:val="0023767C"/>
    <w:rsid w:val="00255BBE"/>
    <w:rsid w:val="002763A6"/>
    <w:rsid w:val="002C2A6C"/>
    <w:rsid w:val="002C520B"/>
    <w:rsid w:val="002E7041"/>
    <w:rsid w:val="00314E12"/>
    <w:rsid w:val="00344041"/>
    <w:rsid w:val="0035276F"/>
    <w:rsid w:val="003B15A6"/>
    <w:rsid w:val="003C3827"/>
    <w:rsid w:val="004115CC"/>
    <w:rsid w:val="00440906"/>
    <w:rsid w:val="00477859"/>
    <w:rsid w:val="004A4117"/>
    <w:rsid w:val="004F3DC9"/>
    <w:rsid w:val="005B6ADA"/>
    <w:rsid w:val="005F2728"/>
    <w:rsid w:val="00634735"/>
    <w:rsid w:val="00643A4D"/>
    <w:rsid w:val="00697F0D"/>
    <w:rsid w:val="006A5D15"/>
    <w:rsid w:val="006D5A18"/>
    <w:rsid w:val="006D75D3"/>
    <w:rsid w:val="00716517"/>
    <w:rsid w:val="0071664B"/>
    <w:rsid w:val="00722241"/>
    <w:rsid w:val="00743C1F"/>
    <w:rsid w:val="00760221"/>
    <w:rsid w:val="00766BD7"/>
    <w:rsid w:val="007736D4"/>
    <w:rsid w:val="00774325"/>
    <w:rsid w:val="0078135C"/>
    <w:rsid w:val="0078794E"/>
    <w:rsid w:val="00790718"/>
    <w:rsid w:val="007A07A6"/>
    <w:rsid w:val="007B58BD"/>
    <w:rsid w:val="007B5BEC"/>
    <w:rsid w:val="007C3F85"/>
    <w:rsid w:val="007E114B"/>
    <w:rsid w:val="008019D3"/>
    <w:rsid w:val="00805451"/>
    <w:rsid w:val="00832A6A"/>
    <w:rsid w:val="00842A3B"/>
    <w:rsid w:val="00844D87"/>
    <w:rsid w:val="008520BC"/>
    <w:rsid w:val="0086338D"/>
    <w:rsid w:val="008B28B2"/>
    <w:rsid w:val="008C467D"/>
    <w:rsid w:val="008D2E14"/>
    <w:rsid w:val="0090081F"/>
    <w:rsid w:val="00901074"/>
    <w:rsid w:val="00916538"/>
    <w:rsid w:val="00940D51"/>
    <w:rsid w:val="009649FA"/>
    <w:rsid w:val="009C000E"/>
    <w:rsid w:val="009C28C1"/>
    <w:rsid w:val="009D32E4"/>
    <w:rsid w:val="009F17BE"/>
    <w:rsid w:val="009F533F"/>
    <w:rsid w:val="00A14087"/>
    <w:rsid w:val="00A402DF"/>
    <w:rsid w:val="00A4622C"/>
    <w:rsid w:val="00A77A23"/>
    <w:rsid w:val="00A806DD"/>
    <w:rsid w:val="00AA0BF9"/>
    <w:rsid w:val="00AD6ADC"/>
    <w:rsid w:val="00B124E5"/>
    <w:rsid w:val="00B44528"/>
    <w:rsid w:val="00B50199"/>
    <w:rsid w:val="00B6646A"/>
    <w:rsid w:val="00B75282"/>
    <w:rsid w:val="00B952BD"/>
    <w:rsid w:val="00BB63CE"/>
    <w:rsid w:val="00BD306E"/>
    <w:rsid w:val="00BE766C"/>
    <w:rsid w:val="00BF0A5B"/>
    <w:rsid w:val="00BF31FA"/>
    <w:rsid w:val="00C246FC"/>
    <w:rsid w:val="00C336ED"/>
    <w:rsid w:val="00C5390F"/>
    <w:rsid w:val="00C54E7D"/>
    <w:rsid w:val="00C614C3"/>
    <w:rsid w:val="00C66BBF"/>
    <w:rsid w:val="00C70B1A"/>
    <w:rsid w:val="00CB3869"/>
    <w:rsid w:val="00CB406C"/>
    <w:rsid w:val="00CB5B02"/>
    <w:rsid w:val="00CC2FC6"/>
    <w:rsid w:val="00CD206F"/>
    <w:rsid w:val="00D07336"/>
    <w:rsid w:val="00D23CCE"/>
    <w:rsid w:val="00D2525D"/>
    <w:rsid w:val="00D531AB"/>
    <w:rsid w:val="00D65712"/>
    <w:rsid w:val="00D66D94"/>
    <w:rsid w:val="00D67598"/>
    <w:rsid w:val="00D8336F"/>
    <w:rsid w:val="00D84EE6"/>
    <w:rsid w:val="00D962CE"/>
    <w:rsid w:val="00DE7CFB"/>
    <w:rsid w:val="00E23418"/>
    <w:rsid w:val="00E43DEE"/>
    <w:rsid w:val="00E51A61"/>
    <w:rsid w:val="00E543B5"/>
    <w:rsid w:val="00E63F03"/>
    <w:rsid w:val="00E76670"/>
    <w:rsid w:val="00EA4916"/>
    <w:rsid w:val="00EA6D16"/>
    <w:rsid w:val="00EA739C"/>
    <w:rsid w:val="00EC40AA"/>
    <w:rsid w:val="00EE48CD"/>
    <w:rsid w:val="00F05B37"/>
    <w:rsid w:val="00F14118"/>
    <w:rsid w:val="00F22AF0"/>
    <w:rsid w:val="00F31328"/>
    <w:rsid w:val="00F4226D"/>
    <w:rsid w:val="00F5072F"/>
    <w:rsid w:val="00FC0714"/>
    <w:rsid w:val="00FD11B9"/>
    <w:rsid w:val="00FD3F28"/>
    <w:rsid w:val="00FE2101"/>
    <w:rsid w:val="00FE23D3"/>
    <w:rsid w:val="00FE3DB8"/>
    <w:rsid w:val="05B6B929"/>
    <w:rsid w:val="05FC712F"/>
    <w:rsid w:val="079CD2B6"/>
    <w:rsid w:val="07C3A1D3"/>
    <w:rsid w:val="08954F73"/>
    <w:rsid w:val="0938A317"/>
    <w:rsid w:val="09454A67"/>
    <w:rsid w:val="0A311FD4"/>
    <w:rsid w:val="0A7ED0E8"/>
    <w:rsid w:val="120F0CF9"/>
    <w:rsid w:val="13546393"/>
    <w:rsid w:val="14A05B22"/>
    <w:rsid w:val="15B3B496"/>
    <w:rsid w:val="179CD825"/>
    <w:rsid w:val="19721170"/>
    <w:rsid w:val="1C4341B4"/>
    <w:rsid w:val="1D033264"/>
    <w:rsid w:val="1D05EDEA"/>
    <w:rsid w:val="1DB01B5A"/>
    <w:rsid w:val="1EEC067C"/>
    <w:rsid w:val="1F40FF40"/>
    <w:rsid w:val="20A54A4B"/>
    <w:rsid w:val="20B7AC2F"/>
    <w:rsid w:val="20BE72A8"/>
    <w:rsid w:val="22537C90"/>
    <w:rsid w:val="226D761E"/>
    <w:rsid w:val="22838C7D"/>
    <w:rsid w:val="2318F3B6"/>
    <w:rsid w:val="239B88CF"/>
    <w:rsid w:val="24B4C417"/>
    <w:rsid w:val="252D444D"/>
    <w:rsid w:val="26AEF032"/>
    <w:rsid w:val="27615B92"/>
    <w:rsid w:val="27A71355"/>
    <w:rsid w:val="296F0CDD"/>
    <w:rsid w:val="2BE7710D"/>
    <w:rsid w:val="2C005B06"/>
    <w:rsid w:val="2C27DF0D"/>
    <w:rsid w:val="2F91EC34"/>
    <w:rsid w:val="35CE5214"/>
    <w:rsid w:val="36990801"/>
    <w:rsid w:val="3727ED12"/>
    <w:rsid w:val="376A2275"/>
    <w:rsid w:val="3905F2D6"/>
    <w:rsid w:val="3D0516C4"/>
    <w:rsid w:val="3E748BB3"/>
    <w:rsid w:val="3EC15B76"/>
    <w:rsid w:val="3F333C60"/>
    <w:rsid w:val="40CF0CC1"/>
    <w:rsid w:val="40FBA59C"/>
    <w:rsid w:val="4499AC44"/>
    <w:rsid w:val="46ABF90A"/>
    <w:rsid w:val="46BF7FB3"/>
    <w:rsid w:val="47B6CE7B"/>
    <w:rsid w:val="47D14D06"/>
    <w:rsid w:val="496D1D67"/>
    <w:rsid w:val="4A019DB1"/>
    <w:rsid w:val="4A9394C0"/>
    <w:rsid w:val="4B80D9D7"/>
    <w:rsid w:val="4D10F46F"/>
    <w:rsid w:val="4D2EC137"/>
    <w:rsid w:val="4D393E73"/>
    <w:rsid w:val="4FCC2384"/>
    <w:rsid w:val="50951404"/>
    <w:rsid w:val="5501DE87"/>
    <w:rsid w:val="552E39F9"/>
    <w:rsid w:val="5CE720BF"/>
    <w:rsid w:val="5D4097D2"/>
    <w:rsid w:val="5EBBF3E2"/>
    <w:rsid w:val="5F9C83C0"/>
    <w:rsid w:val="5FD4A1F4"/>
    <w:rsid w:val="60847349"/>
    <w:rsid w:val="61619D95"/>
    <w:rsid w:val="61F394A4"/>
    <w:rsid w:val="62071B4D"/>
    <w:rsid w:val="63627DAE"/>
    <w:rsid w:val="63A2EBAE"/>
    <w:rsid w:val="65BD8AA1"/>
    <w:rsid w:val="65F29CE7"/>
    <w:rsid w:val="67D0DF19"/>
    <w:rsid w:val="684D1DF5"/>
    <w:rsid w:val="68F7FD8A"/>
    <w:rsid w:val="69922492"/>
    <w:rsid w:val="69E8EE56"/>
    <w:rsid w:val="6DD08A0C"/>
    <w:rsid w:val="6FF1BF5C"/>
    <w:rsid w:val="73624F29"/>
    <w:rsid w:val="740850D2"/>
    <w:rsid w:val="7422CF5D"/>
    <w:rsid w:val="7648A2CC"/>
    <w:rsid w:val="76D119B9"/>
    <w:rsid w:val="77A4052D"/>
    <w:rsid w:val="786CEA1A"/>
    <w:rsid w:val="793D9EEC"/>
    <w:rsid w:val="7AC27D92"/>
    <w:rsid w:val="7C753FAE"/>
    <w:rsid w:val="7E2705AB"/>
    <w:rsid w:val="7F95E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F0007"/>
  <w15:chartTrackingRefBased/>
  <w15:docId w15:val="{C0398680-927D-4B99-A551-5F435DA9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F96"/>
    <w:pPr>
      <w:spacing w:after="0" w:line="240" w:lineRule="auto"/>
      <w:ind w:left="720"/>
      <w:contextualSpacing/>
    </w:pPr>
    <w:rPr>
      <w:rFonts w:ascii="Arial" w:eastAsia="Arial" w:hAnsi="Arial" w:cs="Arial"/>
      <w:lang w:val="uk-UA" w:eastAsia="ru-RU"/>
    </w:rPr>
  </w:style>
  <w:style w:type="character" w:styleId="a4">
    <w:name w:val="Hyperlink"/>
    <w:basedOn w:val="a0"/>
    <w:uiPriority w:val="99"/>
    <w:unhideWhenUsed/>
    <w:rsid w:val="001C7F9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E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842A3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D3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D306E"/>
  </w:style>
  <w:style w:type="paragraph" w:styleId="a9">
    <w:name w:val="footer"/>
    <w:basedOn w:val="a"/>
    <w:link w:val="aa"/>
    <w:uiPriority w:val="99"/>
    <w:unhideWhenUsed/>
    <w:rsid w:val="00BD3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D306E"/>
  </w:style>
  <w:style w:type="paragraph" w:styleId="ab">
    <w:name w:val="Normal (Web)"/>
    <w:basedOn w:val="a"/>
    <w:uiPriority w:val="99"/>
    <w:unhideWhenUsed/>
    <w:rsid w:val="00BD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D306E"/>
    <w:rPr>
      <w:b/>
      <w:bCs/>
    </w:rPr>
  </w:style>
  <w:style w:type="character" w:styleId="ad">
    <w:name w:val="Emphasis"/>
    <w:basedOn w:val="a0"/>
    <w:uiPriority w:val="20"/>
    <w:qFormat/>
    <w:rsid w:val="00BD306E"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a"/>
    <w:rsid w:val="00A8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eop">
    <w:name w:val="eop"/>
    <w:basedOn w:val="a0"/>
    <w:rsid w:val="00A806DD"/>
  </w:style>
  <w:style w:type="character" w:customStyle="1" w:styleId="normaltextrun">
    <w:name w:val="normaltextrun"/>
    <w:basedOn w:val="a0"/>
    <w:rsid w:val="000D03B2"/>
  </w:style>
  <w:style w:type="paragraph" w:customStyle="1" w:styleId="11">
    <w:name w:val="Основной текст1"/>
    <w:rsid w:val="00D657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uk-UA"/>
      <w14:textOutline w14:w="0" w14:cap="flat" w14:cmpd="sng" w14:algn="ctr">
        <w14:noFill/>
        <w14:prstDash w14:val="solid"/>
        <w14:bevel/>
      </w14:textOutline>
    </w:rPr>
  </w:style>
  <w:style w:type="paragraph" w:customStyle="1" w:styleId="ae">
    <w:name w:val="По умолчанию"/>
    <w:rsid w:val="00D6571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 w:eastAsia="uk-U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sadykov@helsinki.org.ua" TargetMode="External"/><Relationship Id="rId13" Type="http://schemas.openxmlformats.org/officeDocument/2006/relationships/hyperlink" Target="http://www.treasury.gov/resour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sinki.org.ua/richni-zvity-2/" TargetMode="External"/><Relationship Id="rId12" Type="http://schemas.openxmlformats.org/officeDocument/2006/relationships/hyperlink" Target="http://www.sam.gov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easury.gov/resource%20-center/sanctions/SDN%20List/Pages/default.aspx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am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.sadykov@helsinki.org.ua" TargetMode="External"/><Relationship Id="rId14" Type="http://schemas.openxmlformats.org/officeDocument/2006/relationships/hyperlink" Target="https://www.usaid.gov/sites/default/files/documents/303mab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13289</Words>
  <Characters>7575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i.ageyeva</dc:creator>
  <cp:keywords/>
  <dc:description/>
  <cp:lastModifiedBy>Ірина Агеєва</cp:lastModifiedBy>
  <cp:revision>9</cp:revision>
  <dcterms:created xsi:type="dcterms:W3CDTF">2023-10-11T08:12:00Z</dcterms:created>
  <dcterms:modified xsi:type="dcterms:W3CDTF">2023-10-11T08:53:00Z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12878b7b7969692f5e737ccfdbddb05364c9335d7824252acbfe3e843f4aafde</vt:lpwstr>
  </property>
</Properties>
</file>