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191"/>
      </w:tblGrid>
      <w:tr w:rsidR="00854AB0" w14:paraId="70BD6F0C" w14:textId="77777777" w:rsidTr="00854AB0">
        <w:tc>
          <w:tcPr>
            <w:tcW w:w="2835" w:type="dxa"/>
          </w:tcPr>
          <w:p w14:paraId="208D7DAC" w14:textId="77777777" w:rsidR="00854AB0" w:rsidRDefault="00854AB0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91" w:type="dxa"/>
            <w:hideMark/>
          </w:tcPr>
          <w:p w14:paraId="47806FF7" w14:textId="77777777" w:rsidR="00854AB0" w:rsidRDefault="00854AB0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4A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Павлова Юлія Володимирівна</w:t>
            </w:r>
          </w:p>
          <w:p w14:paraId="778A11A1" w14:textId="5F1BC5CF" w:rsidR="00854AB0" w:rsidRDefault="00854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Навчально-науковий інститут міжнародних відносин Київського національного університету ім. Т. Шевченка,</w:t>
            </w:r>
          </w:p>
          <w:p w14:paraId="06D33C50" w14:textId="77777777" w:rsidR="00854AB0" w:rsidRDefault="00854AB0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магістерська освітньо-наукова програма «Міжнародне право», спеціалізація «Міжнародний захист прав людини», ІІ рік навчання, група 1</w:t>
            </w:r>
          </w:p>
        </w:tc>
      </w:tr>
    </w:tbl>
    <w:p w14:paraId="4E42F015" w14:textId="77777777" w:rsidR="00854AB0" w:rsidRDefault="00854AB0" w:rsidP="00574ABB">
      <w:pPr>
        <w:spacing w:before="120" w:after="120"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D3F5999" w14:textId="51AF5454" w:rsidR="00564697" w:rsidRPr="00574ABB" w:rsidRDefault="00373507" w:rsidP="00574ABB">
      <w:pPr>
        <w:spacing w:before="120" w:after="120"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74ABB">
        <w:rPr>
          <w:rFonts w:ascii="Times New Roman" w:hAnsi="Times New Roman" w:cs="Times New Roman"/>
          <w:b/>
          <w:bCs/>
          <w:sz w:val="24"/>
          <w:szCs w:val="24"/>
          <w:lang w:val="uk-UA"/>
        </w:rPr>
        <w:t>X та інші проти Австрії</w:t>
      </w:r>
    </w:p>
    <w:p w14:paraId="013AFB91" w14:textId="301D9E42" w:rsidR="00574ABB" w:rsidRPr="00570BA5" w:rsidRDefault="000A7AB3" w:rsidP="006D1972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73507">
        <w:rPr>
          <w:rFonts w:ascii="Times New Roman" w:hAnsi="Times New Roman" w:cs="Times New Roman"/>
          <w:sz w:val="24"/>
          <w:szCs w:val="24"/>
          <w:lang w:val="uk-UA"/>
        </w:rPr>
        <w:t>19 лютого 2013 року</w:t>
      </w:r>
      <w:r w:rsidRPr="008361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61B1" w:rsidRPr="008361B1">
        <w:rPr>
          <w:rFonts w:ascii="Times New Roman" w:hAnsi="Times New Roman" w:cs="Times New Roman"/>
          <w:sz w:val="24"/>
          <w:szCs w:val="24"/>
          <w:lang w:val="uk-UA"/>
        </w:rPr>
        <w:t>Велика палата Європейського суду з прав людини у справі X та інші проти Австрії більшістю голосів</w:t>
      </w:r>
      <w:r w:rsidR="008361B1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8361B1" w:rsidRPr="008361B1">
        <w:rPr>
          <w:rFonts w:ascii="Times New Roman" w:hAnsi="Times New Roman" w:cs="Times New Roman"/>
          <w:sz w:val="24"/>
          <w:szCs w:val="24"/>
          <w:lang w:val="uk-UA"/>
        </w:rPr>
        <w:t>десят</w:t>
      </w:r>
      <w:r w:rsidR="008361B1">
        <w:rPr>
          <w:rFonts w:ascii="Times New Roman" w:hAnsi="Times New Roman" w:cs="Times New Roman"/>
          <w:sz w:val="24"/>
          <w:szCs w:val="24"/>
          <w:lang w:val="uk-UA"/>
        </w:rPr>
        <w:t>ь проти</w:t>
      </w:r>
      <w:r w:rsidR="008361B1" w:rsidRPr="008361B1">
        <w:rPr>
          <w:rFonts w:ascii="Times New Roman" w:hAnsi="Times New Roman" w:cs="Times New Roman"/>
          <w:sz w:val="24"/>
          <w:szCs w:val="24"/>
          <w:lang w:val="uk-UA"/>
        </w:rPr>
        <w:t xml:space="preserve"> семи постановила, що Австрія порушила статтю 14 (заборона дискримінації) у поєднанні зі статтею 8 (право на повагу до приватного та сімейне життя) Конвенції про захист прав людини та основоположних свобод (</w:t>
      </w:r>
      <w:r w:rsidR="00574ABB">
        <w:rPr>
          <w:rFonts w:ascii="Times New Roman" w:hAnsi="Times New Roman" w:cs="Times New Roman"/>
          <w:sz w:val="24"/>
          <w:szCs w:val="24"/>
          <w:lang w:val="uk-UA"/>
        </w:rPr>
        <w:t>ЄКПЛ</w:t>
      </w:r>
      <w:r w:rsidR="008361B1" w:rsidRPr="008361B1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2E1F62">
        <w:rPr>
          <w:rFonts w:ascii="Times New Roman" w:hAnsi="Times New Roman" w:cs="Times New Roman"/>
          <w:sz w:val="24"/>
          <w:szCs w:val="24"/>
          <w:lang w:val="uk-UA"/>
        </w:rPr>
        <w:t>відмовивши</w:t>
      </w:r>
      <w:r w:rsidR="008361B1" w:rsidRPr="008361B1">
        <w:rPr>
          <w:rFonts w:ascii="Times New Roman" w:hAnsi="Times New Roman" w:cs="Times New Roman"/>
          <w:sz w:val="24"/>
          <w:szCs w:val="24"/>
          <w:lang w:val="uk-UA"/>
        </w:rPr>
        <w:t xml:space="preserve"> неодруженій одностатевій парі в праві на усиновлення другим </w:t>
      </w:r>
      <w:r w:rsidR="00574ABB">
        <w:rPr>
          <w:rFonts w:ascii="Times New Roman" w:hAnsi="Times New Roman" w:cs="Times New Roman"/>
          <w:sz w:val="24"/>
          <w:szCs w:val="24"/>
          <w:lang w:val="uk-UA"/>
        </w:rPr>
        <w:t>партнером дитини</w:t>
      </w:r>
      <w:r w:rsidR="008361B1" w:rsidRPr="008361B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74ABB">
        <w:rPr>
          <w:rFonts w:ascii="Times New Roman" w:hAnsi="Times New Roman" w:cs="Times New Roman"/>
          <w:sz w:val="24"/>
          <w:szCs w:val="24"/>
          <w:lang w:val="uk-UA"/>
        </w:rPr>
        <w:t xml:space="preserve">при тому, що </w:t>
      </w:r>
      <w:r w:rsidR="008361B1" w:rsidRPr="008361B1">
        <w:rPr>
          <w:rFonts w:ascii="Times New Roman" w:hAnsi="Times New Roman" w:cs="Times New Roman"/>
          <w:sz w:val="24"/>
          <w:szCs w:val="24"/>
          <w:lang w:val="uk-UA"/>
        </w:rPr>
        <w:t xml:space="preserve">усиновлення другим </w:t>
      </w:r>
      <w:r w:rsidR="00574ABB">
        <w:rPr>
          <w:rFonts w:ascii="Times New Roman" w:hAnsi="Times New Roman" w:cs="Times New Roman"/>
          <w:sz w:val="24"/>
          <w:szCs w:val="24"/>
          <w:lang w:val="uk-UA"/>
        </w:rPr>
        <w:t>партнером дитини</w:t>
      </w:r>
      <w:r w:rsidR="008361B1" w:rsidRPr="008361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1F62">
        <w:rPr>
          <w:rFonts w:ascii="Times New Roman" w:hAnsi="Times New Roman" w:cs="Times New Roman"/>
          <w:sz w:val="24"/>
          <w:szCs w:val="24"/>
          <w:lang w:val="uk-UA"/>
        </w:rPr>
        <w:t xml:space="preserve">було </w:t>
      </w:r>
      <w:r w:rsidR="008361B1" w:rsidRPr="008361B1">
        <w:rPr>
          <w:rFonts w:ascii="Times New Roman" w:hAnsi="Times New Roman" w:cs="Times New Roman"/>
          <w:sz w:val="24"/>
          <w:szCs w:val="24"/>
          <w:lang w:val="uk-UA"/>
        </w:rPr>
        <w:t>доступне неодруженим парам протилежної статі</w:t>
      </w:r>
      <w:r w:rsidR="008361B1" w:rsidRPr="00570BA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68F023AD" w14:textId="0950B38A" w:rsidR="00373507" w:rsidRPr="00570BA5" w:rsidRDefault="00373507" w:rsidP="00373507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0BA5">
        <w:rPr>
          <w:rFonts w:ascii="Times New Roman" w:hAnsi="Times New Roman" w:cs="Times New Roman"/>
          <w:b/>
          <w:sz w:val="24"/>
          <w:szCs w:val="24"/>
          <w:lang w:val="uk-UA"/>
        </w:rPr>
        <w:t>Обставини справи</w:t>
      </w:r>
    </w:p>
    <w:p w14:paraId="10DB4D43" w14:textId="49C62B6F" w:rsidR="000A7AB3" w:rsidRPr="00570BA5" w:rsidRDefault="00373507" w:rsidP="000A7AB3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BA5">
        <w:rPr>
          <w:rFonts w:ascii="Times New Roman" w:hAnsi="Times New Roman" w:cs="Times New Roman"/>
          <w:sz w:val="24"/>
          <w:szCs w:val="24"/>
          <w:lang w:val="uk-UA"/>
        </w:rPr>
        <w:t>X та її партнерка</w:t>
      </w:r>
      <w:r w:rsidR="00B57156" w:rsidRPr="00570BA5">
        <w:rPr>
          <w:rFonts w:ascii="Times New Roman" w:hAnsi="Times New Roman" w:cs="Times New Roman"/>
          <w:sz w:val="24"/>
          <w:szCs w:val="24"/>
          <w:lang w:val="uk-UA"/>
        </w:rPr>
        <w:t xml:space="preserve"> (заявниці 1 та 2)</w:t>
      </w:r>
      <w:r w:rsidR="00FB2417" w:rsidRPr="00570BA5">
        <w:rPr>
          <w:rFonts w:ascii="Times New Roman" w:hAnsi="Times New Roman" w:cs="Times New Roman"/>
          <w:sz w:val="24"/>
          <w:szCs w:val="24"/>
          <w:lang w:val="ru-RU"/>
        </w:rPr>
        <w:t xml:space="preserve">, яка </w:t>
      </w:r>
      <w:r w:rsidR="00FB2417" w:rsidRPr="00570BA5">
        <w:rPr>
          <w:rFonts w:ascii="Times New Roman" w:hAnsi="Times New Roman" w:cs="Times New Roman"/>
          <w:sz w:val="24"/>
          <w:szCs w:val="24"/>
          <w:lang w:val="uk-UA"/>
        </w:rPr>
        <w:t>мала від свого колишнього чоловіка дитину</w:t>
      </w:r>
      <w:r w:rsidR="00B57156" w:rsidRPr="00570BA5">
        <w:rPr>
          <w:rFonts w:ascii="Times New Roman" w:hAnsi="Times New Roman" w:cs="Times New Roman"/>
          <w:sz w:val="24"/>
          <w:szCs w:val="24"/>
          <w:lang w:val="uk-UA"/>
        </w:rPr>
        <w:t xml:space="preserve"> (заявник 3)</w:t>
      </w:r>
      <w:r w:rsidR="00FB2417" w:rsidRPr="00570BA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70BA5">
        <w:rPr>
          <w:rFonts w:ascii="Times New Roman" w:hAnsi="Times New Roman" w:cs="Times New Roman"/>
          <w:sz w:val="24"/>
          <w:szCs w:val="24"/>
          <w:lang w:val="uk-UA"/>
        </w:rPr>
        <w:t xml:space="preserve"> жили разом у стабільних одностатевих стосунках.</w:t>
      </w:r>
      <w:r w:rsidR="00062033" w:rsidRPr="00570BA5">
        <w:rPr>
          <w:rFonts w:ascii="Times New Roman" w:hAnsi="Times New Roman" w:cs="Times New Roman"/>
          <w:sz w:val="24"/>
          <w:szCs w:val="24"/>
          <w:lang w:val="uk-UA"/>
        </w:rPr>
        <w:t xml:space="preserve"> Х хотіла всиновити дитину</w:t>
      </w:r>
      <w:r w:rsidRPr="00570BA5">
        <w:rPr>
          <w:rFonts w:ascii="Times New Roman" w:hAnsi="Times New Roman" w:cs="Times New Roman"/>
          <w:sz w:val="24"/>
          <w:szCs w:val="24"/>
          <w:lang w:val="uk-UA"/>
        </w:rPr>
        <w:t>, так щоб стосунки</w:t>
      </w:r>
      <w:r w:rsidR="000A7AB3" w:rsidRPr="00570BA5">
        <w:rPr>
          <w:rFonts w:ascii="Times New Roman" w:hAnsi="Times New Roman" w:cs="Times New Roman"/>
          <w:sz w:val="24"/>
          <w:szCs w:val="24"/>
          <w:lang w:val="uk-UA"/>
        </w:rPr>
        <w:t xml:space="preserve"> дитини</w:t>
      </w:r>
      <w:r w:rsidRPr="00570BA5">
        <w:rPr>
          <w:rFonts w:ascii="Times New Roman" w:hAnsi="Times New Roman" w:cs="Times New Roman"/>
          <w:sz w:val="24"/>
          <w:szCs w:val="24"/>
          <w:lang w:val="uk-UA"/>
        </w:rPr>
        <w:t xml:space="preserve"> з біологічним батьком та його родичами припинилися. </w:t>
      </w:r>
    </w:p>
    <w:p w14:paraId="5F959271" w14:textId="5CFCAC37" w:rsidR="00373507" w:rsidRDefault="000A7AB3" w:rsidP="000A7AB3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70B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Національні суди їм відмовили, вказавши, що відповідно до австрійського законодавства таке усиновлення неможливе, оскільки батьківство дитини не може бути розділене між більш ніж двома батьками, які можуть бути лише чоловіком і жінкою (ст. 182 §2 Цивільного кодексу Австрії). </w:t>
      </w:r>
      <w:r w:rsidR="00570BA5" w:rsidRPr="00570B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Надавши формальну відмову, суди не досліджували відносин між заявниками та інших фактичних обставин справи. </w:t>
      </w:r>
      <w:r w:rsidRPr="00570BA5">
        <w:rPr>
          <w:rFonts w:ascii="Times New Roman" w:hAnsi="Times New Roman" w:cs="Times New Roman"/>
          <w:bCs/>
          <w:sz w:val="24"/>
          <w:szCs w:val="24"/>
          <w:lang w:val="uk-UA"/>
        </w:rPr>
        <w:t>Дві жінки подали справу до Європейського суду.</w:t>
      </w:r>
    </w:p>
    <w:p w14:paraId="6467A174" w14:textId="5D20100D" w:rsidR="005C5E4E" w:rsidRDefault="005C5E4E" w:rsidP="000A7AB3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5E4E">
        <w:rPr>
          <w:rFonts w:ascii="Times New Roman" w:hAnsi="Times New Roman" w:cs="Times New Roman"/>
          <w:b/>
          <w:sz w:val="24"/>
          <w:szCs w:val="24"/>
          <w:lang w:val="uk-UA"/>
        </w:rPr>
        <w:t>Аргументи сторін</w:t>
      </w:r>
    </w:p>
    <w:p w14:paraId="5B45B7CD" w14:textId="1D42C51F" w:rsidR="005C5E4E" w:rsidRDefault="005C5E4E" w:rsidP="005C5E4E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Заявники вказували, що</w:t>
      </w:r>
      <w:r w:rsidRPr="00570B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відбулася дискримінація, оскільки </w:t>
      </w:r>
      <w:r w:rsidRPr="00570BA5">
        <w:rPr>
          <w:rFonts w:ascii="Times New Roman" w:hAnsi="Times New Roman" w:cs="Times New Roman"/>
          <w:bCs/>
          <w:sz w:val="24"/>
          <w:szCs w:val="24"/>
          <w:lang w:val="uk-UA"/>
        </w:rPr>
        <w:t>суди не мали можливості перевірити будь-яким значущим чином, чи запитувані усиновлення було в інтересах дитини, враховуючи те, що воно в будь-якому випадку було юридично неможливим.</w:t>
      </w:r>
    </w:p>
    <w:p w14:paraId="777557F3" w14:textId="77777777" w:rsidR="005C5E4E" w:rsidRDefault="005C5E4E" w:rsidP="005C5E4E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70BA5">
        <w:rPr>
          <w:rFonts w:ascii="Times New Roman" w:hAnsi="Times New Roman" w:cs="Times New Roman"/>
          <w:bCs/>
          <w:sz w:val="24"/>
          <w:szCs w:val="24"/>
          <w:lang w:val="uk-UA"/>
        </w:rPr>
        <w:t>Уряд Австрії пояснював, що закон про усиновлення був спрямований на відтворення обставин біологічної сім’ї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а також </w:t>
      </w:r>
      <w:r w:rsidRPr="00570B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 серед європейських держав немає консенсусу щодо усиновлення одностатевими парами другим батьком і тому, держава має широку свободу розсуду для регулювання цього питання. </w:t>
      </w:r>
    </w:p>
    <w:p w14:paraId="487FBFC6" w14:textId="6BBBF585" w:rsidR="00373507" w:rsidRDefault="004846E1" w:rsidP="00373507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0BA5">
        <w:rPr>
          <w:rFonts w:ascii="Times New Roman" w:hAnsi="Times New Roman" w:cs="Times New Roman"/>
          <w:b/>
          <w:sz w:val="24"/>
          <w:szCs w:val="24"/>
          <w:lang w:val="uk-UA"/>
        </w:rPr>
        <w:t>Рішення суду</w:t>
      </w:r>
    </w:p>
    <w:p w14:paraId="2FA66CC0" w14:textId="2CC69D97" w:rsidR="005C5E4E" w:rsidRPr="00373507" w:rsidRDefault="005C5E4E" w:rsidP="005C5E4E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507">
        <w:rPr>
          <w:rFonts w:ascii="Times New Roman" w:hAnsi="Times New Roman" w:cs="Times New Roman"/>
          <w:sz w:val="24"/>
          <w:szCs w:val="24"/>
          <w:lang w:val="uk-UA"/>
        </w:rPr>
        <w:t xml:space="preserve">ЄСПЛ з </w:t>
      </w:r>
      <w:r>
        <w:rPr>
          <w:rFonts w:ascii="Times New Roman" w:hAnsi="Times New Roman" w:cs="Times New Roman"/>
          <w:sz w:val="24"/>
          <w:szCs w:val="24"/>
          <w:lang w:val="uk-UA"/>
        </w:rPr>
        <w:t>аргументацією Уряду</w:t>
      </w:r>
      <w:r w:rsidRPr="00373507">
        <w:rPr>
          <w:rFonts w:ascii="Times New Roman" w:hAnsi="Times New Roman" w:cs="Times New Roman"/>
          <w:sz w:val="24"/>
          <w:szCs w:val="24"/>
          <w:lang w:val="uk-UA"/>
        </w:rPr>
        <w:t xml:space="preserve"> не погодився, встановивши, що нерозповсюдження права на одностатеві пари є дискримінацією цих пар на тій підставі, що це порушує їхнє право на повагу до приватного та сімейного життя, передбачене статтею 8, у поєднанні зі статтею 14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ЄКПЛ</w:t>
      </w:r>
      <w:r w:rsidRPr="003735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94F0152" w14:textId="453B90F3" w:rsidR="00B57156" w:rsidRPr="00570BA5" w:rsidRDefault="004846E1" w:rsidP="004846E1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70BA5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Суд </w:t>
      </w:r>
      <w:r w:rsidR="005C5E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також </w:t>
      </w:r>
      <w:r w:rsidRPr="00570BA5">
        <w:rPr>
          <w:rFonts w:ascii="Times New Roman" w:hAnsi="Times New Roman" w:cs="Times New Roman"/>
          <w:bCs/>
          <w:sz w:val="24"/>
          <w:szCs w:val="24"/>
          <w:lang w:val="uk-UA"/>
        </w:rPr>
        <w:t>зазначив,  що с</w:t>
      </w:r>
      <w:r w:rsidR="00B57156" w:rsidRPr="00570B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таття 8 </w:t>
      </w:r>
      <w:r w:rsidRPr="00570B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ЄКПЛ </w:t>
      </w:r>
      <w:r w:rsidR="00B57156" w:rsidRPr="00570B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 зобов’язувала </w:t>
      </w:r>
      <w:r w:rsidRPr="00570B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державу </w:t>
      </w:r>
      <w:r w:rsidR="00B57156" w:rsidRPr="00570B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поширювати право на усиновлення другим батьком на неодружені пари. Однак, враховуючи те, що національне законодавство дозволяло усиновлення другим </w:t>
      </w:r>
      <w:r w:rsidR="00570BA5" w:rsidRPr="00570BA5">
        <w:rPr>
          <w:rFonts w:ascii="Times New Roman" w:hAnsi="Times New Roman" w:cs="Times New Roman"/>
          <w:bCs/>
          <w:sz w:val="24"/>
          <w:szCs w:val="24"/>
          <w:lang w:val="uk-UA"/>
        </w:rPr>
        <w:t>партнером дитини</w:t>
      </w:r>
      <w:r w:rsidR="00B57156" w:rsidRPr="00570B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для неодружених різностатевих пар, </w:t>
      </w:r>
      <w:r w:rsidR="00570BA5" w:rsidRPr="00570BA5">
        <w:rPr>
          <w:rFonts w:ascii="Times New Roman" w:hAnsi="Times New Roman" w:cs="Times New Roman"/>
          <w:bCs/>
          <w:sz w:val="24"/>
          <w:szCs w:val="24"/>
          <w:lang w:val="uk-UA"/>
        </w:rPr>
        <w:t>ЄСПЛ</w:t>
      </w:r>
      <w:r w:rsidR="00B57156" w:rsidRPr="00570B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повинен був перевірити, чи відмова в цьому праві (неодруженим) одностатевим парам служила законній меті та була пропорційною цій меті.</w:t>
      </w:r>
      <w:r w:rsidR="006D1972" w:rsidRPr="00570B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Національні суди такої перевірки не здійснили з огляду на прямі заборонні приписи щодо усиновлення в австрійському законодавстві.</w:t>
      </w:r>
    </w:p>
    <w:p w14:paraId="525136B9" w14:textId="77777777" w:rsidR="00373507" w:rsidRPr="00373507" w:rsidRDefault="00373507" w:rsidP="00373507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3507">
        <w:rPr>
          <w:rFonts w:ascii="Times New Roman" w:hAnsi="Times New Roman" w:cs="Times New Roman"/>
          <w:b/>
          <w:sz w:val="24"/>
          <w:szCs w:val="24"/>
          <w:lang w:val="uk-UA"/>
        </w:rPr>
        <w:t>Вплив на національну судову практику</w:t>
      </w:r>
    </w:p>
    <w:p w14:paraId="10AD4AAD" w14:textId="6692D2A7" w:rsidR="00373507" w:rsidRPr="00373507" w:rsidRDefault="00373507" w:rsidP="00373507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507">
        <w:rPr>
          <w:rFonts w:ascii="Times New Roman" w:hAnsi="Times New Roman" w:cs="Times New Roman"/>
          <w:sz w:val="24"/>
          <w:szCs w:val="24"/>
          <w:lang w:val="uk-UA"/>
        </w:rPr>
        <w:t xml:space="preserve">Після винесення ЄСПЛ рішення у даній справі, 5 липня 2013 року австрійський парламент прийняв зміни до Цивільного кодексу, що дозволяли усиновлення дитини одностатевими парами. </w:t>
      </w:r>
    </w:p>
    <w:p w14:paraId="63167ECD" w14:textId="283E93A0" w:rsidR="00373507" w:rsidRPr="00373507" w:rsidRDefault="00373507" w:rsidP="00373507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507">
        <w:rPr>
          <w:rFonts w:ascii="Times New Roman" w:hAnsi="Times New Roman" w:cs="Times New Roman"/>
          <w:sz w:val="24"/>
          <w:szCs w:val="24"/>
          <w:lang w:val="uk-UA"/>
        </w:rPr>
        <w:t xml:space="preserve">Надалі у січні 2015 року Конституційний суд визнав існуючі закони про усиновлення неконституційними та ухвалив, що до 31 грудня 2015 року до законів необхідно внести зміни, щоб дозволити усиновлення дітей одностатевими парами. З 1 січня 2016 року, заборона була ефективно скасована на національному рівні. </w:t>
      </w:r>
    </w:p>
    <w:p w14:paraId="710B61E6" w14:textId="77777777" w:rsidR="00373507" w:rsidRPr="00373507" w:rsidRDefault="00373507" w:rsidP="0037350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B7B62E" w14:textId="77777777" w:rsidR="00373507" w:rsidRPr="002E1F62" w:rsidRDefault="00373507" w:rsidP="00373507">
      <w:pPr>
        <w:spacing w:before="120" w:after="120" w:line="276" w:lineRule="auto"/>
        <w:rPr>
          <w:lang w:val="uk-UA"/>
        </w:rPr>
      </w:pPr>
    </w:p>
    <w:sectPr w:rsidR="00373507" w:rsidRPr="002E1F62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6952" w14:textId="77777777" w:rsidR="00C35038" w:rsidRDefault="00C35038" w:rsidP="00373507">
      <w:r>
        <w:separator/>
      </w:r>
    </w:p>
  </w:endnote>
  <w:endnote w:type="continuationSeparator" w:id="0">
    <w:p w14:paraId="0C6E003E" w14:textId="77777777" w:rsidR="00C35038" w:rsidRDefault="00C35038" w:rsidP="0037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274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4C007" w14:textId="77777777" w:rsidR="00373507" w:rsidRDefault="0037350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47C88C" w14:textId="77777777" w:rsidR="00373507" w:rsidRDefault="003735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4C51" w14:textId="77777777" w:rsidR="00C35038" w:rsidRDefault="00C35038" w:rsidP="00373507">
      <w:r>
        <w:separator/>
      </w:r>
    </w:p>
  </w:footnote>
  <w:footnote w:type="continuationSeparator" w:id="0">
    <w:p w14:paraId="671CF7C3" w14:textId="77777777" w:rsidR="00C35038" w:rsidRDefault="00C35038" w:rsidP="0037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72829A"/>
    <w:lvl w:ilvl="0">
      <w:start w:val="1"/>
      <w:numFmt w:val="decimal"/>
      <w:pStyle w:val="5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26166FE8"/>
    <w:lvl w:ilvl="0">
      <w:start w:val="1"/>
      <w:numFmt w:val="decimal"/>
      <w:pStyle w:val="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EAB0F540"/>
    <w:lvl w:ilvl="0">
      <w:start w:val="1"/>
      <w:numFmt w:val="decimal"/>
      <w:pStyle w:val="3"/>
      <w:lvlText w:val="%1.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6ACC87B6"/>
    <w:lvl w:ilvl="0">
      <w:start w:val="1"/>
      <w:numFmt w:val="decimal"/>
      <w:pStyle w:val="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A126B70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820802"/>
    <w:lvl w:ilvl="0">
      <w:start w:val="1"/>
      <w:numFmt w:val="bullet"/>
      <w:pStyle w:val="40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8E0854"/>
    <w:lvl w:ilvl="0">
      <w:start w:val="1"/>
      <w:numFmt w:val="bullet"/>
      <w:pStyle w:val="30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223520"/>
    <w:lvl w:ilvl="0">
      <w:start w:val="1"/>
      <w:numFmt w:val="bullet"/>
      <w:pStyle w:val="20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6B572"/>
    <w:lvl w:ilvl="0">
      <w:start w:val="1"/>
      <w:numFmt w:val="decimal"/>
      <w:pStyle w:val="a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29760440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1270354490">
    <w:abstractNumId w:val="9"/>
  </w:num>
  <w:num w:numId="2" w16cid:durableId="429472329">
    <w:abstractNumId w:val="9"/>
  </w:num>
  <w:num w:numId="3" w16cid:durableId="57939456">
    <w:abstractNumId w:val="7"/>
  </w:num>
  <w:num w:numId="4" w16cid:durableId="658659154">
    <w:abstractNumId w:val="7"/>
  </w:num>
  <w:num w:numId="5" w16cid:durableId="889341658">
    <w:abstractNumId w:val="7"/>
  </w:num>
  <w:num w:numId="6" w16cid:durableId="1205479133">
    <w:abstractNumId w:val="6"/>
  </w:num>
  <w:num w:numId="7" w16cid:durableId="1111168913">
    <w:abstractNumId w:val="6"/>
  </w:num>
  <w:num w:numId="8" w16cid:durableId="2145926453">
    <w:abstractNumId w:val="5"/>
  </w:num>
  <w:num w:numId="9" w16cid:durableId="713039960">
    <w:abstractNumId w:val="5"/>
  </w:num>
  <w:num w:numId="10" w16cid:durableId="1352145879">
    <w:abstractNumId w:val="4"/>
  </w:num>
  <w:num w:numId="11" w16cid:durableId="170874255">
    <w:abstractNumId w:val="4"/>
  </w:num>
  <w:num w:numId="12" w16cid:durableId="135495508">
    <w:abstractNumId w:val="8"/>
  </w:num>
  <w:num w:numId="13" w16cid:durableId="22022583">
    <w:abstractNumId w:val="8"/>
  </w:num>
  <w:num w:numId="14" w16cid:durableId="1907839186">
    <w:abstractNumId w:val="8"/>
  </w:num>
  <w:num w:numId="15" w16cid:durableId="46802246">
    <w:abstractNumId w:val="3"/>
  </w:num>
  <w:num w:numId="16" w16cid:durableId="1215388877">
    <w:abstractNumId w:val="3"/>
  </w:num>
  <w:num w:numId="17" w16cid:durableId="1570531127">
    <w:abstractNumId w:val="2"/>
  </w:num>
  <w:num w:numId="18" w16cid:durableId="1773738591">
    <w:abstractNumId w:val="2"/>
  </w:num>
  <w:num w:numId="19" w16cid:durableId="702561503">
    <w:abstractNumId w:val="1"/>
  </w:num>
  <w:num w:numId="20" w16cid:durableId="1395392786">
    <w:abstractNumId w:val="1"/>
  </w:num>
  <w:num w:numId="21" w16cid:durableId="534931555">
    <w:abstractNumId w:val="0"/>
  </w:num>
  <w:num w:numId="22" w16cid:durableId="724647861">
    <w:abstractNumId w:val="0"/>
  </w:num>
  <w:num w:numId="23" w16cid:durableId="354501127">
    <w:abstractNumId w:val="9"/>
  </w:num>
  <w:num w:numId="24" w16cid:durableId="1822456294">
    <w:abstractNumId w:val="8"/>
  </w:num>
  <w:num w:numId="25" w16cid:durableId="302736285">
    <w:abstractNumId w:val="7"/>
  </w:num>
  <w:num w:numId="26" w16cid:durableId="129443771">
    <w:abstractNumId w:val="6"/>
  </w:num>
  <w:num w:numId="27" w16cid:durableId="1997413329">
    <w:abstractNumId w:val="5"/>
  </w:num>
  <w:num w:numId="28" w16cid:durableId="1054349609">
    <w:abstractNumId w:val="4"/>
  </w:num>
  <w:num w:numId="29" w16cid:durableId="2035375923">
    <w:abstractNumId w:val="3"/>
  </w:num>
  <w:num w:numId="30" w16cid:durableId="1480656634">
    <w:abstractNumId w:val="2"/>
  </w:num>
  <w:num w:numId="31" w16cid:durableId="1979140624">
    <w:abstractNumId w:val="1"/>
  </w:num>
  <w:num w:numId="32" w16cid:durableId="1617592238">
    <w:abstractNumId w:val="0"/>
  </w:num>
  <w:num w:numId="33" w16cid:durableId="2084177909">
    <w:abstractNumId w:val="9"/>
  </w:num>
  <w:num w:numId="34" w16cid:durableId="181557416">
    <w:abstractNumId w:val="8"/>
  </w:num>
  <w:num w:numId="35" w16cid:durableId="519928769">
    <w:abstractNumId w:val="7"/>
  </w:num>
  <w:num w:numId="36" w16cid:durableId="1309552503">
    <w:abstractNumId w:val="6"/>
  </w:num>
  <w:num w:numId="37" w16cid:durableId="1254169864">
    <w:abstractNumId w:val="5"/>
  </w:num>
  <w:num w:numId="38" w16cid:durableId="712072599">
    <w:abstractNumId w:val="4"/>
  </w:num>
  <w:num w:numId="39" w16cid:durableId="1340736903">
    <w:abstractNumId w:val="3"/>
  </w:num>
  <w:num w:numId="40" w16cid:durableId="365253122">
    <w:abstractNumId w:val="2"/>
  </w:num>
  <w:num w:numId="41" w16cid:durableId="1148864046">
    <w:abstractNumId w:val="1"/>
  </w:num>
  <w:num w:numId="42" w16cid:durableId="14196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07"/>
    <w:rsid w:val="00062033"/>
    <w:rsid w:val="000A7AB3"/>
    <w:rsid w:val="002E1F62"/>
    <w:rsid w:val="00373507"/>
    <w:rsid w:val="004846E1"/>
    <w:rsid w:val="004E25C5"/>
    <w:rsid w:val="00564697"/>
    <w:rsid w:val="0056750C"/>
    <w:rsid w:val="00570BA5"/>
    <w:rsid w:val="00574ABB"/>
    <w:rsid w:val="005C5E4E"/>
    <w:rsid w:val="006D1972"/>
    <w:rsid w:val="008361B1"/>
    <w:rsid w:val="00854AB0"/>
    <w:rsid w:val="009D464A"/>
    <w:rsid w:val="00AB21B6"/>
    <w:rsid w:val="00B45966"/>
    <w:rsid w:val="00B57156"/>
    <w:rsid w:val="00C35038"/>
    <w:rsid w:val="00D15B0F"/>
    <w:rsid w:val="00FB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06BF"/>
  <w15:chartTrackingRefBased/>
  <w15:docId w15:val="{E4263985-5289-49C3-BFA5-BC582642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 w:qFormat="1"/>
    <w:lsdException w:name="List Bullet 5" w:semiHidden="1" w:uiPriority="24" w:unhideWhenUsed="1" w:qFormat="1"/>
    <w:lsdException w:name="List Number 2" w:semiHidden="1" w:uiPriority="24" w:unhideWhenUsed="1" w:qFormat="1"/>
    <w:lsdException w:name="List Number 3" w:semiHidden="1" w:uiPriority="24" w:unhideWhenUsed="1" w:qFormat="1"/>
    <w:lsdException w:name="List Number 4" w:semiHidden="1" w:uiPriority="24" w:unhideWhenUsed="1" w:qFormat="1"/>
    <w:lsdException w:name="List Number 5" w:semiHidden="1" w:uiPriority="24" w:unhideWhenUsed="1" w:qFormat="1"/>
    <w:lsdException w:name="Title" w:uiPriority="10" w:qFormat="1"/>
    <w:lsdException w:name="Closing" w:semiHidden="1" w:unhideWhenUsed="1"/>
    <w:lsdException w:name="Signature" w:semiHidden="1" w:uiPriority="3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99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21">
    <w:name w:val="heading 2"/>
    <w:basedOn w:val="a1"/>
    <w:next w:val="a1"/>
    <w:link w:val="22"/>
    <w:uiPriority w:val="9"/>
    <w:qFormat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31">
    <w:name w:val="heading 3"/>
    <w:basedOn w:val="a1"/>
    <w:next w:val="a1"/>
    <w:link w:val="32"/>
    <w:uiPriority w:val="9"/>
    <w:qFormat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qFormat/>
    <w:pPr>
      <w:spacing w:after="240"/>
    </w:pPr>
  </w:style>
  <w:style w:type="character" w:customStyle="1" w:styleId="a6">
    <w:name w:val="Основний текст Знак"/>
    <w:basedOn w:val="a2"/>
    <w:link w:val="a5"/>
  </w:style>
  <w:style w:type="paragraph" w:customStyle="1" w:styleId="Block5">
    <w:name w:val="Block .5"/>
    <w:basedOn w:val="a1"/>
    <w:uiPriority w:val="21"/>
    <w:qFormat/>
    <w:pPr>
      <w:spacing w:after="240"/>
      <w:ind w:left="720" w:right="720"/>
      <w:jc w:val="both"/>
    </w:pPr>
  </w:style>
  <w:style w:type="paragraph" w:customStyle="1" w:styleId="Block1">
    <w:name w:val="Block 1"/>
    <w:basedOn w:val="a1"/>
    <w:uiPriority w:val="21"/>
    <w:qFormat/>
    <w:pPr>
      <w:spacing w:after="240"/>
      <w:ind w:left="1440" w:right="1440"/>
      <w:jc w:val="both"/>
    </w:pPr>
  </w:style>
  <w:style w:type="paragraph" w:customStyle="1" w:styleId="BodyFI5">
    <w:name w:val="Body FI .5"/>
    <w:basedOn w:val="a5"/>
    <w:uiPriority w:val="4"/>
    <w:qFormat/>
    <w:pPr>
      <w:ind w:firstLine="720"/>
    </w:pPr>
  </w:style>
  <w:style w:type="paragraph" w:customStyle="1" w:styleId="BodyInd5">
    <w:name w:val="Body Ind .5"/>
    <w:basedOn w:val="a5"/>
    <w:uiPriority w:val="24"/>
    <w:qFormat/>
    <w:pPr>
      <w:ind w:left="720"/>
    </w:pPr>
  </w:style>
  <w:style w:type="paragraph" w:customStyle="1" w:styleId="BodyInd1">
    <w:name w:val="Body Ind 1"/>
    <w:basedOn w:val="a5"/>
    <w:uiPriority w:val="24"/>
    <w:qFormat/>
    <w:pPr>
      <w:ind w:left="1440"/>
    </w:pPr>
  </w:style>
  <w:style w:type="character" w:customStyle="1" w:styleId="Underline">
    <w:name w:val="Underline"/>
    <w:basedOn w:val="a2"/>
    <w:uiPriority w:val="79"/>
    <w:qFormat/>
    <w:rPr>
      <w:u w:val="single"/>
    </w:rPr>
  </w:style>
  <w:style w:type="paragraph" w:styleId="a7">
    <w:name w:val="footer"/>
    <w:basedOn w:val="a1"/>
    <w:link w:val="a8"/>
    <w:uiPriority w:val="99"/>
    <w:pPr>
      <w:tabs>
        <w:tab w:val="center" w:pos="4680"/>
        <w:tab w:val="right" w:pos="9360"/>
      </w:tabs>
    </w:pPr>
    <w:rPr>
      <w:sz w:val="16"/>
    </w:rPr>
  </w:style>
  <w:style w:type="character" w:customStyle="1" w:styleId="a8">
    <w:name w:val="Нижній колонтитул Знак"/>
    <w:basedOn w:val="a2"/>
    <w:link w:val="a7"/>
    <w:uiPriority w:val="99"/>
    <w:rPr>
      <w:sz w:val="16"/>
    </w:rPr>
  </w:style>
  <w:style w:type="paragraph" w:styleId="a9">
    <w:name w:val="header"/>
    <w:basedOn w:val="a1"/>
    <w:link w:val="aa"/>
    <w:uiPriority w:val="99"/>
    <w:pPr>
      <w:tabs>
        <w:tab w:val="center" w:pos="4680"/>
        <w:tab w:val="right" w:pos="9360"/>
      </w:tabs>
    </w:pPr>
  </w:style>
  <w:style w:type="character" w:customStyle="1" w:styleId="aa">
    <w:name w:val="Верхній колонтитул Знак"/>
    <w:basedOn w:val="a2"/>
    <w:link w:val="a9"/>
    <w:uiPriority w:val="99"/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a0">
    <w:name w:val="List Bullet"/>
    <w:aliases w:val="LB1"/>
    <w:basedOn w:val="a1"/>
    <w:uiPriority w:val="19"/>
    <w:qFormat/>
    <w:pPr>
      <w:numPr>
        <w:numId w:val="33"/>
      </w:numPr>
      <w:spacing w:after="240"/>
      <w:contextualSpacing/>
    </w:pPr>
  </w:style>
  <w:style w:type="paragraph" w:styleId="20">
    <w:name w:val="List Bullet 2"/>
    <w:aliases w:val="LB2"/>
    <w:basedOn w:val="a1"/>
    <w:uiPriority w:val="24"/>
    <w:qFormat/>
    <w:pPr>
      <w:numPr>
        <w:numId w:val="35"/>
      </w:numPr>
      <w:spacing w:after="240"/>
      <w:contextualSpacing/>
    </w:pPr>
  </w:style>
  <w:style w:type="paragraph" w:styleId="30">
    <w:name w:val="List Bullet 3"/>
    <w:aliases w:val="LB3"/>
    <w:basedOn w:val="a1"/>
    <w:uiPriority w:val="24"/>
    <w:qFormat/>
    <w:pPr>
      <w:numPr>
        <w:numId w:val="36"/>
      </w:numPr>
      <w:spacing w:after="240"/>
      <w:contextualSpacing/>
    </w:pPr>
  </w:style>
  <w:style w:type="paragraph" w:styleId="40">
    <w:name w:val="List Bullet 4"/>
    <w:aliases w:val="LB4"/>
    <w:basedOn w:val="a1"/>
    <w:uiPriority w:val="24"/>
    <w:qFormat/>
    <w:pPr>
      <w:numPr>
        <w:numId w:val="37"/>
      </w:numPr>
      <w:spacing w:after="240"/>
      <w:contextualSpacing/>
    </w:pPr>
  </w:style>
  <w:style w:type="paragraph" w:styleId="50">
    <w:name w:val="List Bullet 5"/>
    <w:aliases w:val="LB5"/>
    <w:basedOn w:val="a1"/>
    <w:uiPriority w:val="24"/>
    <w:qFormat/>
    <w:pPr>
      <w:numPr>
        <w:numId w:val="38"/>
      </w:numPr>
      <w:spacing w:after="240"/>
      <w:contextualSpacing/>
    </w:pPr>
  </w:style>
  <w:style w:type="paragraph" w:styleId="a">
    <w:name w:val="List Number"/>
    <w:aliases w:val="LN1"/>
    <w:basedOn w:val="a1"/>
    <w:uiPriority w:val="19"/>
    <w:qFormat/>
    <w:pPr>
      <w:numPr>
        <w:numId w:val="34"/>
      </w:numPr>
      <w:spacing w:after="240"/>
      <w:contextualSpacing/>
    </w:pPr>
  </w:style>
  <w:style w:type="paragraph" w:styleId="2">
    <w:name w:val="List Number 2"/>
    <w:aliases w:val="LN2"/>
    <w:basedOn w:val="a1"/>
    <w:uiPriority w:val="24"/>
    <w:qFormat/>
    <w:pPr>
      <w:numPr>
        <w:numId w:val="39"/>
      </w:numPr>
      <w:spacing w:after="240"/>
      <w:contextualSpacing/>
    </w:pPr>
  </w:style>
  <w:style w:type="paragraph" w:styleId="3">
    <w:name w:val="List Number 3"/>
    <w:aliases w:val="LN3"/>
    <w:basedOn w:val="a1"/>
    <w:uiPriority w:val="24"/>
    <w:qFormat/>
    <w:pPr>
      <w:numPr>
        <w:numId w:val="40"/>
      </w:numPr>
      <w:spacing w:after="240"/>
      <w:contextualSpacing/>
    </w:pPr>
  </w:style>
  <w:style w:type="paragraph" w:styleId="4">
    <w:name w:val="List Number 4"/>
    <w:aliases w:val="LN4"/>
    <w:basedOn w:val="a1"/>
    <w:uiPriority w:val="24"/>
    <w:qFormat/>
    <w:pPr>
      <w:numPr>
        <w:numId w:val="41"/>
      </w:numPr>
      <w:spacing w:after="240"/>
      <w:contextualSpacing/>
    </w:pPr>
  </w:style>
  <w:style w:type="paragraph" w:styleId="5">
    <w:name w:val="List Number 5"/>
    <w:aliases w:val="LN5"/>
    <w:basedOn w:val="a1"/>
    <w:uiPriority w:val="24"/>
    <w:qFormat/>
    <w:pPr>
      <w:numPr>
        <w:numId w:val="42"/>
      </w:numPr>
      <w:spacing w:after="240"/>
      <w:contextualSpacing/>
    </w:pPr>
  </w:style>
  <w:style w:type="paragraph" w:customStyle="1" w:styleId="RightFlush">
    <w:name w:val="Right Flush"/>
    <w:basedOn w:val="a1"/>
    <w:uiPriority w:val="34"/>
    <w:qFormat/>
    <w:pPr>
      <w:spacing w:after="240"/>
      <w:jc w:val="right"/>
    </w:pPr>
  </w:style>
  <w:style w:type="paragraph" w:styleId="ab">
    <w:name w:val="Signature"/>
    <w:basedOn w:val="a1"/>
    <w:link w:val="ac"/>
    <w:uiPriority w:val="36"/>
    <w:qFormat/>
    <w:pPr>
      <w:spacing w:after="240"/>
      <w:ind w:left="4320"/>
    </w:pPr>
  </w:style>
  <w:style w:type="character" w:customStyle="1" w:styleId="ac">
    <w:name w:val="Підпис Знак"/>
    <w:basedOn w:val="a2"/>
    <w:link w:val="ab"/>
    <w:uiPriority w:val="36"/>
  </w:style>
  <w:style w:type="paragraph" w:styleId="ad">
    <w:name w:val="Subtitle"/>
    <w:basedOn w:val="a1"/>
    <w:next w:val="a1"/>
    <w:link w:val="ae"/>
    <w:uiPriority w:val="11"/>
    <w:qFormat/>
    <w:pPr>
      <w:numPr>
        <w:ilvl w:val="1"/>
      </w:numPr>
      <w:spacing w:after="240"/>
      <w:jc w:val="center"/>
      <w:outlineLvl w:val="1"/>
    </w:pPr>
    <w:rPr>
      <w:rFonts w:eastAsiaTheme="minorEastAsia"/>
      <w:b/>
      <w:spacing w:val="15"/>
    </w:rPr>
  </w:style>
  <w:style w:type="character" w:customStyle="1" w:styleId="ae">
    <w:name w:val="Підзаголовок Знак"/>
    <w:basedOn w:val="a2"/>
    <w:link w:val="ad"/>
    <w:uiPriority w:val="11"/>
    <w:rPr>
      <w:rFonts w:eastAsiaTheme="minorEastAsia"/>
      <w:b/>
      <w:spacing w:val="15"/>
    </w:rPr>
  </w:style>
  <w:style w:type="paragraph" w:styleId="af">
    <w:name w:val="Title"/>
    <w:basedOn w:val="a1"/>
    <w:next w:val="a1"/>
    <w:link w:val="af0"/>
    <w:uiPriority w:val="10"/>
    <w:qFormat/>
    <w:pPr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af0">
    <w:name w:val="Назва Знак"/>
    <w:basedOn w:val="a2"/>
    <w:link w:val="af"/>
    <w:uiPriority w:val="10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customStyle="1" w:styleId="Title2">
    <w:name w:val="Title 2"/>
    <w:basedOn w:val="a1"/>
    <w:uiPriority w:val="20"/>
    <w:qFormat/>
    <w:pPr>
      <w:spacing w:after="240"/>
      <w:jc w:val="center"/>
      <w:outlineLvl w:val="0"/>
    </w:pPr>
    <w:rPr>
      <w:b/>
      <w:caps/>
      <w:sz w:val="28"/>
    </w:rPr>
  </w:style>
  <w:style w:type="paragraph" w:customStyle="1" w:styleId="TitleFirm">
    <w:name w:val="Title (Firm)"/>
    <w:basedOn w:val="a1"/>
    <w:uiPriority w:val="29"/>
    <w:qFormat/>
    <w:pPr>
      <w:pBdr>
        <w:top w:val="single" w:sz="4" w:space="1" w:color="auto"/>
        <w:bottom w:val="single" w:sz="4" w:space="1" w:color="auto"/>
      </w:pBdr>
      <w:spacing w:before="120" w:after="120"/>
      <w:ind w:left="1440" w:right="1440"/>
      <w:jc w:val="center"/>
      <w:outlineLvl w:val="0"/>
    </w:pPr>
    <w:rPr>
      <w:rFonts w:asciiTheme="majorHAnsi" w:hAnsiTheme="majorHAnsi"/>
      <w:b/>
      <w:caps/>
      <w:sz w:val="28"/>
    </w:rPr>
  </w:style>
  <w:style w:type="paragraph" w:customStyle="1" w:styleId="BodyFI1">
    <w:name w:val="Body FI 1"/>
    <w:basedOn w:val="a5"/>
    <w:uiPriority w:val="20"/>
    <w:qFormat/>
    <w:pPr>
      <w:ind w:firstLine="1440"/>
    </w:pPr>
  </w:style>
  <w:style w:type="table" w:styleId="11">
    <w:name w:val="Light List Accent 1"/>
    <w:basedOn w:val="a3"/>
    <w:uiPriority w:val="61"/>
    <w:semiHidden/>
    <w:unhideWhenUsed/>
    <w:rsid w:val="0037350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af1">
    <w:name w:val="Hyperlink"/>
    <w:basedOn w:val="a2"/>
    <w:uiPriority w:val="99"/>
    <w:unhideWhenUsed/>
    <w:rsid w:val="00373507"/>
    <w:rPr>
      <w:color w:val="0563C1" w:themeColor="hyperlink"/>
      <w:u w:val="single"/>
    </w:rPr>
  </w:style>
  <w:style w:type="character" w:styleId="af2">
    <w:name w:val="FollowedHyperlink"/>
    <w:basedOn w:val="a2"/>
    <w:uiPriority w:val="99"/>
    <w:semiHidden/>
    <w:unhideWhenUsed/>
    <w:rsid w:val="00373507"/>
    <w:rPr>
      <w:color w:val="954F72" w:themeColor="followedHyperlink"/>
      <w:u w:val="single"/>
    </w:rPr>
  </w:style>
  <w:style w:type="table" w:styleId="af3">
    <w:name w:val="Table Grid"/>
    <w:basedOn w:val="a3"/>
    <w:uiPriority w:val="39"/>
    <w:rsid w:val="00854AB0"/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2167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Squire Patton Boggs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 Patton Boggs</dc:creator>
  <cp:keywords/>
  <dc:description/>
  <cp:lastModifiedBy>Olga Poiedynok</cp:lastModifiedBy>
  <cp:revision>3</cp:revision>
  <dcterms:created xsi:type="dcterms:W3CDTF">2023-02-26T11:44:00Z</dcterms:created>
  <dcterms:modified xsi:type="dcterms:W3CDTF">2023-02-26T12:20:00Z</dcterms:modified>
</cp:coreProperties>
</file>