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3"/>
        <w:gridCol w:w="6088"/>
      </w:tblGrid>
      <w:tr w:rsidR="00E65E3D" w14:paraId="00474B4C" w14:textId="77777777" w:rsidTr="00E65E3D">
        <w:tc>
          <w:tcPr>
            <w:tcW w:w="3823" w:type="dxa"/>
          </w:tcPr>
          <w:p w14:paraId="254EC0B5" w14:textId="77777777" w:rsidR="00E65E3D" w:rsidRDefault="00E65E3D">
            <w:pPr>
              <w:spacing w:before="120" w:after="120"/>
              <w:jc w:val="center"/>
              <w:rPr>
                <w:b/>
                <w:bCs/>
                <w:sz w:val="24"/>
                <w:szCs w:val="24"/>
                <w:u w:val="single"/>
              </w:rPr>
            </w:pPr>
          </w:p>
        </w:tc>
        <w:tc>
          <w:tcPr>
            <w:tcW w:w="6088" w:type="dxa"/>
            <w:hideMark/>
          </w:tcPr>
          <w:p w14:paraId="1E6C45E5" w14:textId="2F30E84B" w:rsidR="00E65E3D" w:rsidRDefault="00E65E3D">
            <w:pPr>
              <w:spacing w:line="276" w:lineRule="auto"/>
              <w:rPr>
                <w:rFonts w:ascii="Times New Roman" w:hAnsi="Times New Roman" w:cs="Times New Roman"/>
                <w:b/>
                <w:bCs/>
                <w:i/>
                <w:iCs/>
                <w:sz w:val="24"/>
                <w:szCs w:val="24"/>
              </w:rPr>
            </w:pPr>
            <w:r w:rsidRPr="00E65E3D">
              <w:rPr>
                <w:rFonts w:ascii="Times New Roman" w:hAnsi="Times New Roman" w:cs="Times New Roman"/>
                <w:b/>
                <w:bCs/>
                <w:i/>
                <w:iCs/>
                <w:sz w:val="24"/>
                <w:szCs w:val="24"/>
              </w:rPr>
              <w:t>Загоруй</w:t>
            </w:r>
            <w:r>
              <w:rPr>
                <w:rFonts w:ascii="Times New Roman" w:hAnsi="Times New Roman" w:cs="Times New Roman"/>
                <w:b/>
                <w:bCs/>
                <w:i/>
                <w:iCs/>
                <w:sz w:val="24"/>
                <w:szCs w:val="24"/>
              </w:rPr>
              <w:t xml:space="preserve"> (Рулько)</w:t>
            </w:r>
            <w:r w:rsidRPr="00E65E3D">
              <w:rPr>
                <w:rFonts w:ascii="Times New Roman" w:hAnsi="Times New Roman" w:cs="Times New Roman"/>
                <w:b/>
                <w:bCs/>
                <w:i/>
                <w:iCs/>
                <w:sz w:val="24"/>
                <w:szCs w:val="24"/>
              </w:rPr>
              <w:t xml:space="preserve"> Дар</w:t>
            </w:r>
            <w:r>
              <w:rPr>
                <w:rFonts w:ascii="Times New Roman" w:hAnsi="Times New Roman" w:cs="Times New Roman"/>
                <w:b/>
                <w:bCs/>
                <w:i/>
                <w:iCs/>
                <w:sz w:val="24"/>
                <w:szCs w:val="24"/>
              </w:rPr>
              <w:t>’</w:t>
            </w:r>
            <w:r w:rsidRPr="00E65E3D">
              <w:rPr>
                <w:rFonts w:ascii="Times New Roman" w:hAnsi="Times New Roman" w:cs="Times New Roman"/>
                <w:b/>
                <w:bCs/>
                <w:i/>
                <w:iCs/>
                <w:sz w:val="24"/>
                <w:szCs w:val="24"/>
              </w:rPr>
              <w:t>я - Олександра Олегівна</w:t>
            </w:r>
          </w:p>
          <w:p w14:paraId="12A496E4" w14:textId="771FEA4B" w:rsidR="00E65E3D" w:rsidRPr="00E65E3D" w:rsidRDefault="00E65E3D">
            <w:pPr>
              <w:spacing w:line="276" w:lineRule="auto"/>
              <w:rPr>
                <w:rFonts w:ascii="Times New Roman" w:hAnsi="Times New Roman" w:cs="Times New Roman"/>
                <w:sz w:val="24"/>
                <w:szCs w:val="24"/>
              </w:rPr>
            </w:pPr>
            <w:r w:rsidRPr="00E65E3D">
              <w:rPr>
                <w:rFonts w:ascii="Times New Roman" w:hAnsi="Times New Roman" w:cs="Times New Roman"/>
                <w:sz w:val="24"/>
                <w:szCs w:val="24"/>
              </w:rPr>
              <w:t>Навчально-науковий інститут міжнародних відносин Київського національного університету ім. Т. Шевченка,</w:t>
            </w:r>
          </w:p>
          <w:p w14:paraId="4F3D5DE0" w14:textId="77777777" w:rsidR="00E65E3D" w:rsidRDefault="00E65E3D">
            <w:pPr>
              <w:spacing w:line="276" w:lineRule="auto"/>
              <w:rPr>
                <w:b/>
                <w:bCs/>
                <w:sz w:val="24"/>
                <w:szCs w:val="24"/>
                <w:u w:val="single"/>
              </w:rPr>
            </w:pPr>
            <w:r w:rsidRPr="00E65E3D">
              <w:rPr>
                <w:rFonts w:ascii="Times New Roman" w:hAnsi="Times New Roman" w:cs="Times New Roman"/>
                <w:sz w:val="24"/>
                <w:szCs w:val="24"/>
              </w:rPr>
              <w:t>магістерська освітньо-наукова програма «Міжнародне право», спеціалізація «Міжнародний захист прав людини», ІІ рік навчання, група 1</w:t>
            </w:r>
          </w:p>
        </w:tc>
      </w:tr>
    </w:tbl>
    <w:p w14:paraId="6760CBFD" w14:textId="77777777" w:rsidR="00E65E3D" w:rsidRDefault="00E65E3D" w:rsidP="00231CF6">
      <w:pPr>
        <w:shd w:val="clear" w:color="auto" w:fill="FFFFFF"/>
        <w:tabs>
          <w:tab w:val="left" w:pos="284"/>
          <w:tab w:val="left" w:pos="851"/>
        </w:tabs>
        <w:jc w:val="center"/>
        <w:rPr>
          <w:rFonts w:ascii="Times New Roman" w:eastAsia="Times New Roman" w:hAnsi="Times New Roman" w:cs="Times New Roman"/>
          <w:b/>
          <w:color w:val="333333"/>
          <w:sz w:val="24"/>
          <w:szCs w:val="24"/>
          <w:lang w:val="uk-UA"/>
        </w:rPr>
      </w:pPr>
    </w:p>
    <w:p w14:paraId="0000003F" w14:textId="35FA88D9" w:rsidR="007B708C" w:rsidRPr="00CA56CE" w:rsidRDefault="00000000" w:rsidP="00231CF6">
      <w:pPr>
        <w:shd w:val="clear" w:color="auto" w:fill="FFFFFF"/>
        <w:tabs>
          <w:tab w:val="left" w:pos="284"/>
          <w:tab w:val="left" w:pos="851"/>
        </w:tabs>
        <w:jc w:val="center"/>
        <w:rPr>
          <w:rFonts w:ascii="Times New Roman" w:eastAsia="Times New Roman" w:hAnsi="Times New Roman" w:cs="Times New Roman"/>
          <w:b/>
          <w:color w:val="333333"/>
          <w:sz w:val="24"/>
          <w:szCs w:val="24"/>
          <w:lang w:val="uk-UA"/>
        </w:rPr>
      </w:pPr>
      <w:r w:rsidRPr="00CA56CE">
        <w:rPr>
          <w:rFonts w:ascii="Times New Roman" w:eastAsia="Times New Roman" w:hAnsi="Times New Roman" w:cs="Times New Roman"/>
          <w:b/>
          <w:color w:val="333333"/>
          <w:sz w:val="24"/>
          <w:szCs w:val="24"/>
          <w:lang w:val="uk-UA"/>
        </w:rPr>
        <w:t xml:space="preserve">Справа </w:t>
      </w:r>
      <w:r w:rsidR="00CA56CE" w:rsidRPr="00CA56CE">
        <w:rPr>
          <w:rFonts w:ascii="Times New Roman" w:eastAsia="Times New Roman" w:hAnsi="Times New Roman" w:cs="Times New Roman"/>
          <w:b/>
          <w:color w:val="333333"/>
          <w:sz w:val="24"/>
          <w:szCs w:val="24"/>
          <w:lang w:val="uk-UA"/>
        </w:rPr>
        <w:t>«</w:t>
      </w:r>
      <w:r w:rsidRPr="00CA56CE">
        <w:rPr>
          <w:rFonts w:ascii="Times New Roman" w:eastAsia="Times New Roman" w:hAnsi="Times New Roman" w:cs="Times New Roman"/>
          <w:b/>
          <w:color w:val="333333"/>
          <w:sz w:val="24"/>
          <w:szCs w:val="24"/>
          <w:lang w:val="uk-UA"/>
        </w:rPr>
        <w:t>М.С. проти України</w:t>
      </w:r>
      <w:r w:rsidR="00CA56CE" w:rsidRPr="00CA56CE">
        <w:rPr>
          <w:rFonts w:ascii="Times New Roman" w:eastAsia="Times New Roman" w:hAnsi="Times New Roman" w:cs="Times New Roman"/>
          <w:b/>
          <w:color w:val="333333"/>
          <w:sz w:val="24"/>
          <w:szCs w:val="24"/>
          <w:lang w:val="uk-UA"/>
        </w:rPr>
        <w:t>»</w:t>
      </w:r>
      <w:r w:rsidRPr="00CA56CE">
        <w:rPr>
          <w:rFonts w:ascii="Times New Roman" w:eastAsia="Times New Roman" w:hAnsi="Times New Roman" w:cs="Times New Roman"/>
          <w:b/>
          <w:color w:val="333333"/>
          <w:sz w:val="24"/>
          <w:szCs w:val="24"/>
          <w:lang w:val="uk-UA"/>
        </w:rPr>
        <w:t xml:space="preserve"> (заява № 2091/13),</w:t>
      </w:r>
    </w:p>
    <w:p w14:paraId="00000040" w14:textId="77777777" w:rsidR="007B708C" w:rsidRPr="00CA56CE" w:rsidRDefault="00000000" w:rsidP="00231CF6">
      <w:pPr>
        <w:shd w:val="clear" w:color="auto" w:fill="FFFFFF"/>
        <w:tabs>
          <w:tab w:val="left" w:pos="284"/>
          <w:tab w:val="left" w:pos="851"/>
        </w:tabs>
        <w:jc w:val="center"/>
        <w:rPr>
          <w:rFonts w:ascii="Times New Roman" w:eastAsia="Times New Roman" w:hAnsi="Times New Roman" w:cs="Times New Roman"/>
          <w:b/>
          <w:color w:val="333333"/>
          <w:sz w:val="24"/>
          <w:szCs w:val="24"/>
          <w:lang w:val="uk-UA"/>
        </w:rPr>
      </w:pPr>
      <w:r w:rsidRPr="00CA56CE">
        <w:rPr>
          <w:rFonts w:ascii="Times New Roman" w:eastAsia="Times New Roman" w:hAnsi="Times New Roman" w:cs="Times New Roman"/>
          <w:b/>
          <w:color w:val="333333"/>
          <w:sz w:val="24"/>
          <w:szCs w:val="24"/>
          <w:lang w:val="uk-UA"/>
        </w:rPr>
        <w:t>рішення від 11.07.2017</w:t>
      </w:r>
    </w:p>
    <w:p w14:paraId="00000041" w14:textId="77777777"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b/>
          <w:color w:val="333333"/>
          <w:sz w:val="24"/>
          <w:szCs w:val="24"/>
          <w:u w:val="single"/>
          <w:lang w:val="uk-UA"/>
        </w:rPr>
      </w:pPr>
      <w:r w:rsidRPr="00CA56CE">
        <w:rPr>
          <w:rFonts w:ascii="Times New Roman" w:eastAsia="Times New Roman" w:hAnsi="Times New Roman" w:cs="Times New Roman"/>
          <w:color w:val="333333"/>
          <w:sz w:val="24"/>
          <w:szCs w:val="24"/>
          <w:lang w:val="uk-UA"/>
        </w:rPr>
        <w:t xml:space="preserve"> </w:t>
      </w:r>
    </w:p>
    <w:p w14:paraId="00000042" w14:textId="0ECE5F48"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За обставинами справи </w:t>
      </w:r>
      <w:r w:rsidR="00CA56CE" w:rsidRPr="00CA56CE">
        <w:rPr>
          <w:rFonts w:ascii="Times New Roman" w:eastAsia="Times New Roman" w:hAnsi="Times New Roman" w:cs="Times New Roman"/>
          <w:color w:val="333333"/>
          <w:sz w:val="24"/>
          <w:szCs w:val="24"/>
          <w:lang w:val="uk-UA"/>
        </w:rPr>
        <w:t>«</w:t>
      </w:r>
      <w:r w:rsidRPr="00CA56CE">
        <w:rPr>
          <w:rFonts w:ascii="Times New Roman" w:eastAsia="Times New Roman" w:hAnsi="Times New Roman" w:cs="Times New Roman"/>
          <w:color w:val="333333"/>
          <w:sz w:val="24"/>
          <w:szCs w:val="24"/>
          <w:lang w:val="uk-UA"/>
        </w:rPr>
        <w:t>М.С. проти України</w:t>
      </w:r>
      <w:r w:rsidR="00CA56CE" w:rsidRPr="00CA56CE">
        <w:rPr>
          <w:rFonts w:ascii="Times New Roman" w:eastAsia="Times New Roman" w:hAnsi="Times New Roman" w:cs="Times New Roman"/>
          <w:color w:val="333333"/>
          <w:sz w:val="24"/>
          <w:szCs w:val="24"/>
          <w:lang w:val="uk-UA"/>
        </w:rPr>
        <w:t>»</w:t>
      </w:r>
      <w:r w:rsidRPr="00CA56CE">
        <w:rPr>
          <w:rFonts w:ascii="Times New Roman" w:eastAsia="Times New Roman" w:hAnsi="Times New Roman" w:cs="Times New Roman"/>
          <w:color w:val="333333"/>
          <w:sz w:val="24"/>
          <w:szCs w:val="24"/>
          <w:lang w:val="uk-UA"/>
        </w:rPr>
        <w:t xml:space="preserve"> в українських національних органах тривали кримінальні провадження за фактом розбещення дитини під час викрадення </w:t>
      </w:r>
      <w:r w:rsidR="00CA56CE" w:rsidRPr="00CA56CE">
        <w:rPr>
          <w:rFonts w:ascii="Times New Roman" w:eastAsia="Times New Roman" w:hAnsi="Times New Roman" w:cs="Times New Roman"/>
          <w:color w:val="333333"/>
          <w:sz w:val="24"/>
          <w:szCs w:val="24"/>
          <w:lang w:val="uk-UA"/>
        </w:rPr>
        <w:t>матір’ю</w:t>
      </w:r>
      <w:r w:rsidRPr="00CA56CE">
        <w:rPr>
          <w:rFonts w:ascii="Times New Roman" w:eastAsia="Times New Roman" w:hAnsi="Times New Roman" w:cs="Times New Roman"/>
          <w:color w:val="333333"/>
          <w:sz w:val="24"/>
          <w:szCs w:val="24"/>
          <w:lang w:val="uk-UA"/>
        </w:rPr>
        <w:t xml:space="preserve">, а також розгляд цивільного спору про визначення місця проживання </w:t>
      </w:r>
      <w:r w:rsidR="0032555B">
        <w:rPr>
          <w:rFonts w:ascii="Times New Roman" w:eastAsia="Times New Roman" w:hAnsi="Times New Roman" w:cs="Times New Roman"/>
          <w:color w:val="333333"/>
          <w:sz w:val="24"/>
          <w:szCs w:val="24"/>
          <w:lang w:val="uk-UA"/>
        </w:rPr>
        <w:t>малолітньої</w:t>
      </w:r>
      <w:r w:rsidRPr="00CA56CE">
        <w:rPr>
          <w:rFonts w:ascii="Times New Roman" w:eastAsia="Times New Roman" w:hAnsi="Times New Roman" w:cs="Times New Roman"/>
          <w:color w:val="333333"/>
          <w:sz w:val="24"/>
          <w:szCs w:val="24"/>
          <w:lang w:val="uk-UA"/>
        </w:rPr>
        <w:t xml:space="preserve">. У </w:t>
      </w:r>
      <w:r w:rsidR="00CA56CE" w:rsidRPr="00CA56CE">
        <w:rPr>
          <w:rFonts w:ascii="Times New Roman" w:eastAsia="Times New Roman" w:hAnsi="Times New Roman" w:cs="Times New Roman"/>
          <w:color w:val="333333"/>
          <w:sz w:val="24"/>
          <w:szCs w:val="24"/>
          <w:lang w:val="uk-UA"/>
        </w:rPr>
        <w:t>зв’язку</w:t>
      </w:r>
      <w:r w:rsidRPr="00CA56CE">
        <w:rPr>
          <w:rFonts w:ascii="Times New Roman" w:eastAsia="Times New Roman" w:hAnsi="Times New Roman" w:cs="Times New Roman"/>
          <w:color w:val="333333"/>
          <w:sz w:val="24"/>
          <w:szCs w:val="24"/>
          <w:lang w:val="uk-UA"/>
        </w:rPr>
        <w:t xml:space="preserve"> з неефективністю, неналежністю та тривалістю цих проваджень заявник звернувся до Європейського суду з прав людини (ЄСПЛ) посилаючись на порушення Україною права дитини заявника на приватне життя та права самого заявника на сімейне життя. </w:t>
      </w:r>
    </w:p>
    <w:p w14:paraId="00000043" w14:textId="77777777" w:rsidR="007B708C" w:rsidRPr="00CA56CE" w:rsidRDefault="007B708C"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44" w14:textId="77777777"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За результатами розгляду заяви ЄСПЛ констатував порушення Україною статті 8 Конвенції про захист прав людини і основоположних свобод (ЄКПЛ): </w:t>
      </w:r>
    </w:p>
    <w:p w14:paraId="00000045" w14:textId="77777777" w:rsidR="007B708C" w:rsidRPr="00CA56CE" w:rsidRDefault="007B708C"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46" w14:textId="216823DA"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u w:val="single"/>
          <w:lang w:val="uk-UA"/>
        </w:rPr>
      </w:pPr>
      <w:r w:rsidRPr="00CA56CE">
        <w:rPr>
          <w:rFonts w:ascii="Times New Roman" w:eastAsia="Times New Roman" w:hAnsi="Times New Roman" w:cs="Times New Roman"/>
          <w:color w:val="333333"/>
          <w:sz w:val="24"/>
          <w:szCs w:val="24"/>
          <w:lang w:val="uk-UA"/>
        </w:rPr>
        <w:t>1) не</w:t>
      </w:r>
      <w:r w:rsidR="0032555B">
        <w:rPr>
          <w:rFonts w:ascii="Times New Roman" w:eastAsia="Times New Roman" w:hAnsi="Times New Roman" w:cs="Times New Roman"/>
          <w:color w:val="333333"/>
          <w:sz w:val="24"/>
          <w:szCs w:val="24"/>
          <w:lang w:val="uk-UA"/>
        </w:rPr>
        <w:t xml:space="preserve">належне </w:t>
      </w:r>
      <w:r w:rsidRPr="00CA56CE">
        <w:rPr>
          <w:rFonts w:ascii="Times New Roman" w:eastAsia="Times New Roman" w:hAnsi="Times New Roman" w:cs="Times New Roman"/>
          <w:color w:val="333333"/>
          <w:sz w:val="24"/>
          <w:szCs w:val="24"/>
          <w:lang w:val="uk-UA"/>
        </w:rPr>
        <w:t xml:space="preserve">розслідування факту розбещення дитини </w:t>
      </w:r>
      <w:r w:rsidR="0032555B">
        <w:rPr>
          <w:rFonts w:ascii="Times New Roman" w:eastAsia="Times New Roman" w:hAnsi="Times New Roman" w:cs="Times New Roman"/>
          <w:color w:val="333333"/>
          <w:sz w:val="24"/>
          <w:szCs w:val="24"/>
          <w:lang w:val="uk-UA"/>
        </w:rPr>
        <w:t>–</w:t>
      </w:r>
      <w:r w:rsidRPr="00CA56CE">
        <w:rPr>
          <w:rFonts w:ascii="Times New Roman" w:eastAsia="Times New Roman" w:hAnsi="Times New Roman" w:cs="Times New Roman"/>
          <w:color w:val="333333"/>
          <w:sz w:val="24"/>
          <w:szCs w:val="24"/>
          <w:lang w:val="uk-UA"/>
        </w:rPr>
        <w:t xml:space="preserve"> </w:t>
      </w:r>
      <w:r w:rsidRPr="00CA56CE">
        <w:rPr>
          <w:rFonts w:ascii="Times New Roman" w:eastAsia="Times New Roman" w:hAnsi="Times New Roman" w:cs="Times New Roman"/>
          <w:color w:val="333333"/>
          <w:sz w:val="24"/>
          <w:szCs w:val="24"/>
          <w:u w:val="single"/>
          <w:lang w:val="uk-UA"/>
        </w:rPr>
        <w:t>порушення</w:t>
      </w:r>
      <w:r w:rsidR="0032555B">
        <w:rPr>
          <w:rFonts w:ascii="Times New Roman" w:eastAsia="Times New Roman" w:hAnsi="Times New Roman" w:cs="Times New Roman"/>
          <w:color w:val="333333"/>
          <w:sz w:val="24"/>
          <w:szCs w:val="24"/>
          <w:u w:val="single"/>
          <w:lang w:val="uk-UA"/>
        </w:rPr>
        <w:t xml:space="preserve"> її </w:t>
      </w:r>
      <w:r w:rsidRPr="00CA56CE">
        <w:rPr>
          <w:rFonts w:ascii="Times New Roman" w:eastAsia="Times New Roman" w:hAnsi="Times New Roman" w:cs="Times New Roman"/>
          <w:color w:val="333333"/>
          <w:sz w:val="24"/>
          <w:szCs w:val="24"/>
          <w:u w:val="single"/>
          <w:lang w:val="uk-UA"/>
        </w:rPr>
        <w:t>права на приватне життя</w:t>
      </w:r>
    </w:p>
    <w:p w14:paraId="00000047" w14:textId="77777777" w:rsidR="007B708C" w:rsidRPr="00CA56CE" w:rsidRDefault="007B708C" w:rsidP="00231CF6">
      <w:pPr>
        <w:shd w:val="clear" w:color="auto" w:fill="FFFFFF"/>
        <w:tabs>
          <w:tab w:val="left" w:pos="284"/>
          <w:tab w:val="left" w:pos="851"/>
        </w:tabs>
        <w:jc w:val="both"/>
        <w:rPr>
          <w:rFonts w:ascii="Times New Roman" w:eastAsia="Times New Roman" w:hAnsi="Times New Roman" w:cs="Times New Roman"/>
          <w:b/>
          <w:color w:val="333333"/>
          <w:sz w:val="24"/>
          <w:szCs w:val="24"/>
          <w:lang w:val="uk-UA"/>
        </w:rPr>
      </w:pPr>
    </w:p>
    <w:p w14:paraId="00000048" w14:textId="7CE37694"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Стаття 8 ЄКПЛ закріплює як негативні </w:t>
      </w:r>
      <w:r w:rsidR="00CA56CE" w:rsidRPr="00CA56CE">
        <w:rPr>
          <w:rFonts w:ascii="Times New Roman" w:eastAsia="Times New Roman" w:hAnsi="Times New Roman" w:cs="Times New Roman"/>
          <w:color w:val="333333"/>
          <w:sz w:val="24"/>
          <w:szCs w:val="24"/>
          <w:lang w:val="uk-UA"/>
        </w:rPr>
        <w:t>зобов’язання</w:t>
      </w:r>
      <w:r w:rsidRPr="00CA56CE">
        <w:rPr>
          <w:rFonts w:ascii="Times New Roman" w:eastAsia="Times New Roman" w:hAnsi="Times New Roman" w:cs="Times New Roman"/>
          <w:color w:val="333333"/>
          <w:sz w:val="24"/>
          <w:szCs w:val="24"/>
          <w:lang w:val="uk-UA"/>
        </w:rPr>
        <w:t xml:space="preserve"> держав (утримуватися від свавільного втручання в життя осіб), так і позитивні (вживати заходи для забезпечення ефективної поваги до приватного та сімейного життя осіб, навіть у їхніх відносинах між собою). ЄКПЛ не містить чіткого переліку засобів для виконання таких </w:t>
      </w:r>
      <w:r w:rsidR="00CA56CE" w:rsidRPr="00CA56CE">
        <w:rPr>
          <w:rFonts w:ascii="Times New Roman" w:eastAsia="Times New Roman" w:hAnsi="Times New Roman" w:cs="Times New Roman"/>
          <w:color w:val="333333"/>
          <w:sz w:val="24"/>
          <w:szCs w:val="24"/>
          <w:lang w:val="uk-UA"/>
        </w:rPr>
        <w:t>зобов’язань</w:t>
      </w:r>
      <w:r w:rsidRPr="00CA56CE">
        <w:rPr>
          <w:rFonts w:ascii="Times New Roman" w:eastAsia="Times New Roman" w:hAnsi="Times New Roman" w:cs="Times New Roman"/>
          <w:color w:val="333333"/>
          <w:sz w:val="24"/>
          <w:szCs w:val="24"/>
          <w:lang w:val="uk-UA"/>
        </w:rPr>
        <w:t>, а тому держави мають відносно широкі межі розсуду.</w:t>
      </w:r>
    </w:p>
    <w:p w14:paraId="41543E17" w14:textId="77777777" w:rsidR="00231CF6" w:rsidRDefault="00231CF6"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49" w14:textId="5F4DA8DE"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У разі обґрунтованих тверджень особи про зазнання сексуального насильства, в дію приводяться саме позитивні зобов’язання держави за статтею 8 ЄКПЛ. Чим серйознішим є факт правопорушення, тим більший обсяг </w:t>
      </w:r>
      <w:r w:rsidR="00CA56CE" w:rsidRPr="00CA56CE">
        <w:rPr>
          <w:rFonts w:ascii="Times New Roman" w:eastAsia="Times New Roman" w:hAnsi="Times New Roman" w:cs="Times New Roman"/>
          <w:color w:val="333333"/>
          <w:sz w:val="24"/>
          <w:szCs w:val="24"/>
          <w:lang w:val="uk-UA"/>
        </w:rPr>
        <w:t>зобов’язань</w:t>
      </w:r>
      <w:r w:rsidRPr="00CA56CE">
        <w:rPr>
          <w:rFonts w:ascii="Times New Roman" w:eastAsia="Times New Roman" w:hAnsi="Times New Roman" w:cs="Times New Roman"/>
          <w:color w:val="333333"/>
          <w:sz w:val="24"/>
          <w:szCs w:val="24"/>
          <w:lang w:val="uk-UA"/>
        </w:rPr>
        <w:t>.</w:t>
      </w:r>
    </w:p>
    <w:p w14:paraId="3C5D3882" w14:textId="77777777" w:rsidR="00231CF6" w:rsidRDefault="00231CF6"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4A" w14:textId="309E1A21"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При цьому, державним органам недостатньо провести кримінальне розслідування </w:t>
      </w:r>
      <w:r w:rsidR="0032555B">
        <w:rPr>
          <w:rFonts w:ascii="Times New Roman" w:eastAsia="Times New Roman" w:hAnsi="Times New Roman" w:cs="Times New Roman"/>
          <w:color w:val="333333"/>
          <w:sz w:val="24"/>
          <w:szCs w:val="24"/>
          <w:lang w:val="uk-UA"/>
        </w:rPr>
        <w:t>–</w:t>
      </w:r>
      <w:r w:rsidRPr="00CA56CE">
        <w:rPr>
          <w:rFonts w:ascii="Times New Roman" w:eastAsia="Times New Roman" w:hAnsi="Times New Roman" w:cs="Times New Roman"/>
          <w:color w:val="333333"/>
          <w:sz w:val="24"/>
          <w:szCs w:val="24"/>
          <w:lang w:val="uk-UA"/>
        </w:rPr>
        <w:t xml:space="preserve"> воно</w:t>
      </w:r>
      <w:r w:rsidR="0032555B">
        <w:rPr>
          <w:rFonts w:ascii="Times New Roman" w:eastAsia="Times New Roman" w:hAnsi="Times New Roman" w:cs="Times New Roman"/>
          <w:color w:val="333333"/>
          <w:sz w:val="24"/>
          <w:szCs w:val="24"/>
          <w:lang w:val="uk-UA"/>
        </w:rPr>
        <w:t xml:space="preserve"> </w:t>
      </w:r>
      <w:r w:rsidRPr="00CA56CE">
        <w:rPr>
          <w:rFonts w:ascii="Times New Roman" w:eastAsia="Times New Roman" w:hAnsi="Times New Roman" w:cs="Times New Roman"/>
          <w:color w:val="333333"/>
          <w:sz w:val="24"/>
          <w:szCs w:val="24"/>
          <w:lang w:val="uk-UA"/>
        </w:rPr>
        <w:t>повинно бути ефективним. У даній справі державні органи України проводили кримінальне розслідування недбало і неналежно, зі значними затримками. Це свідчить про не ретельне, а тому неефективне розслідування і, як результат, порушення статті 8 ЄКПЛ.</w:t>
      </w:r>
    </w:p>
    <w:p w14:paraId="3FC62C4B" w14:textId="77777777" w:rsidR="00231CF6" w:rsidRDefault="00231CF6"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4B" w14:textId="74962995"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u w:val="single"/>
          <w:lang w:val="uk-UA"/>
        </w:rPr>
      </w:pPr>
      <w:r w:rsidRPr="00CA56CE">
        <w:rPr>
          <w:rFonts w:ascii="Times New Roman" w:eastAsia="Times New Roman" w:hAnsi="Times New Roman" w:cs="Times New Roman"/>
          <w:color w:val="333333"/>
          <w:sz w:val="24"/>
          <w:szCs w:val="24"/>
          <w:lang w:val="uk-UA"/>
        </w:rPr>
        <w:t xml:space="preserve">2) недбале визначення місця проживання дитини </w:t>
      </w:r>
      <w:r w:rsidR="0032555B">
        <w:rPr>
          <w:rFonts w:ascii="Times New Roman" w:eastAsia="Times New Roman" w:hAnsi="Times New Roman" w:cs="Times New Roman"/>
          <w:color w:val="333333"/>
          <w:sz w:val="24"/>
          <w:szCs w:val="24"/>
          <w:lang w:val="uk-UA"/>
        </w:rPr>
        <w:t>–</w:t>
      </w:r>
      <w:r w:rsidRPr="00CA56CE">
        <w:rPr>
          <w:rFonts w:ascii="Times New Roman" w:eastAsia="Times New Roman" w:hAnsi="Times New Roman" w:cs="Times New Roman"/>
          <w:color w:val="333333"/>
          <w:sz w:val="24"/>
          <w:szCs w:val="24"/>
          <w:lang w:val="uk-UA"/>
        </w:rPr>
        <w:t xml:space="preserve"> </w:t>
      </w:r>
      <w:r w:rsidRPr="00CA56CE">
        <w:rPr>
          <w:rFonts w:ascii="Times New Roman" w:eastAsia="Times New Roman" w:hAnsi="Times New Roman" w:cs="Times New Roman"/>
          <w:color w:val="333333"/>
          <w:sz w:val="24"/>
          <w:szCs w:val="24"/>
          <w:u w:val="single"/>
          <w:lang w:val="uk-UA"/>
        </w:rPr>
        <w:t>порушення</w:t>
      </w:r>
      <w:r w:rsidR="0032555B">
        <w:rPr>
          <w:rFonts w:ascii="Times New Roman" w:eastAsia="Times New Roman" w:hAnsi="Times New Roman" w:cs="Times New Roman"/>
          <w:color w:val="333333"/>
          <w:sz w:val="24"/>
          <w:szCs w:val="24"/>
          <w:u w:val="single"/>
          <w:lang w:val="uk-UA"/>
        </w:rPr>
        <w:t xml:space="preserve"> </w:t>
      </w:r>
      <w:r w:rsidRPr="00CA56CE">
        <w:rPr>
          <w:rFonts w:ascii="Times New Roman" w:eastAsia="Times New Roman" w:hAnsi="Times New Roman" w:cs="Times New Roman"/>
          <w:color w:val="333333"/>
          <w:sz w:val="24"/>
          <w:szCs w:val="24"/>
          <w:u w:val="single"/>
          <w:lang w:val="uk-UA"/>
        </w:rPr>
        <w:t xml:space="preserve">права на сімейне життя </w:t>
      </w:r>
      <w:r w:rsidR="0032555B">
        <w:rPr>
          <w:rFonts w:ascii="Times New Roman" w:eastAsia="Times New Roman" w:hAnsi="Times New Roman" w:cs="Times New Roman"/>
          <w:color w:val="333333"/>
          <w:sz w:val="24"/>
          <w:szCs w:val="24"/>
          <w:u w:val="single"/>
          <w:lang w:val="uk-UA"/>
        </w:rPr>
        <w:t>її батьк</w:t>
      </w:r>
      <w:r w:rsidR="00231CF6">
        <w:rPr>
          <w:rFonts w:ascii="Times New Roman" w:eastAsia="Times New Roman" w:hAnsi="Times New Roman" w:cs="Times New Roman"/>
          <w:color w:val="333333"/>
          <w:sz w:val="24"/>
          <w:szCs w:val="24"/>
          <w:u w:val="single"/>
          <w:lang w:val="uk-UA"/>
        </w:rPr>
        <w:t>ів</w:t>
      </w:r>
    </w:p>
    <w:p w14:paraId="0000004C" w14:textId="77777777" w:rsidR="007B708C" w:rsidRPr="00CA56CE" w:rsidRDefault="007B708C" w:rsidP="00231CF6">
      <w:pPr>
        <w:shd w:val="clear" w:color="auto" w:fill="FFFFFF"/>
        <w:tabs>
          <w:tab w:val="left" w:pos="284"/>
          <w:tab w:val="left" w:pos="851"/>
        </w:tabs>
        <w:jc w:val="both"/>
        <w:rPr>
          <w:rFonts w:ascii="Times New Roman" w:eastAsia="Times New Roman" w:hAnsi="Times New Roman" w:cs="Times New Roman"/>
          <w:b/>
          <w:color w:val="333333"/>
          <w:sz w:val="24"/>
          <w:szCs w:val="24"/>
          <w:lang w:val="uk-UA"/>
        </w:rPr>
      </w:pPr>
    </w:p>
    <w:p w14:paraId="0000004D" w14:textId="4B8157AC"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Національні суди України, які розглядали справу про визначення місця проживання дитини заявника, повинні були ретельніше вивчити твердження про ризик фізичного насильства над </w:t>
      </w:r>
      <w:r w:rsidR="00231CF6">
        <w:rPr>
          <w:rFonts w:ascii="Times New Roman" w:eastAsia="Times New Roman" w:hAnsi="Times New Roman" w:cs="Times New Roman"/>
          <w:color w:val="333333"/>
          <w:sz w:val="24"/>
          <w:szCs w:val="24"/>
          <w:lang w:val="uk-UA"/>
        </w:rPr>
        <w:t>нею</w:t>
      </w:r>
      <w:r w:rsidRPr="00CA56CE">
        <w:rPr>
          <w:rFonts w:ascii="Times New Roman" w:eastAsia="Times New Roman" w:hAnsi="Times New Roman" w:cs="Times New Roman"/>
          <w:color w:val="333333"/>
          <w:sz w:val="24"/>
          <w:szCs w:val="24"/>
          <w:lang w:val="uk-UA"/>
        </w:rPr>
        <w:t xml:space="preserve">, наявність чи відсутність підвищених ризиків захисту і безпеки дитини під час проживання з </w:t>
      </w:r>
      <w:r w:rsidR="00E779C1" w:rsidRPr="00CA56CE">
        <w:rPr>
          <w:rFonts w:ascii="Times New Roman" w:eastAsia="Times New Roman" w:hAnsi="Times New Roman" w:cs="Times New Roman"/>
          <w:color w:val="333333"/>
          <w:sz w:val="24"/>
          <w:szCs w:val="24"/>
          <w:lang w:val="uk-UA"/>
        </w:rPr>
        <w:lastRenderedPageBreak/>
        <w:t>матір’ю</w:t>
      </w:r>
      <w:r w:rsidRPr="00CA56CE">
        <w:rPr>
          <w:rFonts w:ascii="Times New Roman" w:eastAsia="Times New Roman" w:hAnsi="Times New Roman" w:cs="Times New Roman"/>
          <w:color w:val="333333"/>
          <w:sz w:val="24"/>
          <w:szCs w:val="24"/>
          <w:lang w:val="uk-UA"/>
        </w:rPr>
        <w:t>. Разом з тим, суди не проаналізували, що малолітня зазнала ушкоджень саме в період проживання з матір’ю, яка мала обов’язок дбати про дитину та забезпечувати її захист і безпеку.</w:t>
      </w:r>
    </w:p>
    <w:p w14:paraId="0000004E" w14:textId="31F769EF"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ЄСПЛ звернув увагу на важливість стабільності середовища дитини, яка проявляється у проживанні в конкретному житлі з батьками та іншими родичами, відвідуванні одного навчального закладу, спілкуванні зі знайомим оточенням. Не менш важливим фактором є тривалість проведення часу з дідусем і бабусею: суди повинні дослідити, чи не буде згубним для інтересів дитини розлука з </w:t>
      </w:r>
      <w:r w:rsidR="00231CF6">
        <w:rPr>
          <w:rFonts w:ascii="Times New Roman" w:eastAsia="Times New Roman" w:hAnsi="Times New Roman" w:cs="Times New Roman"/>
          <w:color w:val="333333"/>
          <w:sz w:val="24"/>
          <w:szCs w:val="24"/>
          <w:lang w:val="uk-UA"/>
        </w:rPr>
        <w:t>ними</w:t>
      </w:r>
      <w:r w:rsidRPr="00CA56CE">
        <w:rPr>
          <w:rFonts w:ascii="Times New Roman" w:eastAsia="Times New Roman" w:hAnsi="Times New Roman" w:cs="Times New Roman"/>
          <w:color w:val="333333"/>
          <w:sz w:val="24"/>
          <w:szCs w:val="24"/>
          <w:lang w:val="uk-UA"/>
        </w:rPr>
        <w:t>.</w:t>
      </w:r>
    </w:p>
    <w:p w14:paraId="6D135E3E" w14:textId="77777777" w:rsidR="00231CF6" w:rsidRDefault="00231CF6"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4F" w14:textId="7BA7BD3A"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Відсутність ретельного аналізу обставин справи та інтересів дитини призвів до порушення статті 8 ЄКПЛ.</w:t>
      </w:r>
    </w:p>
    <w:p w14:paraId="507A081D" w14:textId="77777777" w:rsidR="00231CF6" w:rsidRDefault="00231CF6" w:rsidP="00231CF6">
      <w:pPr>
        <w:shd w:val="clear" w:color="auto" w:fill="FFFFFF"/>
        <w:tabs>
          <w:tab w:val="left" w:pos="284"/>
          <w:tab w:val="left" w:pos="851"/>
        </w:tabs>
        <w:jc w:val="both"/>
        <w:rPr>
          <w:rFonts w:ascii="Times New Roman" w:eastAsia="Times New Roman" w:hAnsi="Times New Roman" w:cs="Times New Roman"/>
          <w:b/>
          <w:color w:val="333333"/>
          <w:sz w:val="24"/>
          <w:szCs w:val="24"/>
          <w:u w:val="single"/>
          <w:lang w:val="uk-UA"/>
        </w:rPr>
      </w:pPr>
    </w:p>
    <w:p w14:paraId="00000050" w14:textId="1B135A40"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b/>
          <w:color w:val="333333"/>
          <w:sz w:val="24"/>
          <w:szCs w:val="24"/>
          <w:u w:val="single"/>
          <w:lang w:val="uk-UA"/>
        </w:rPr>
      </w:pPr>
      <w:r w:rsidRPr="00CA56CE">
        <w:rPr>
          <w:rFonts w:ascii="Times New Roman" w:eastAsia="Times New Roman" w:hAnsi="Times New Roman" w:cs="Times New Roman"/>
          <w:b/>
          <w:color w:val="333333"/>
          <w:sz w:val="24"/>
          <w:szCs w:val="24"/>
          <w:u w:val="single"/>
          <w:lang w:val="uk-UA"/>
        </w:rPr>
        <w:t>Окрема думку судді Радзоні</w:t>
      </w:r>
    </w:p>
    <w:p w14:paraId="00000051" w14:textId="3F4D9B58"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Постановляючи, що дитина має жити з матір’ю, національні суди України спиралися на Декларацію ООН про права дитини 1959 року, згідно з якою дитина не має розлучатися зі своєю матір’ю</w:t>
      </w:r>
      <w:r w:rsidR="007F6052">
        <w:rPr>
          <w:rFonts w:ascii="Times New Roman" w:eastAsia="Times New Roman" w:hAnsi="Times New Roman" w:cs="Times New Roman"/>
          <w:color w:val="333333"/>
          <w:sz w:val="24"/>
          <w:szCs w:val="24"/>
          <w:lang w:val="uk-UA"/>
        </w:rPr>
        <w:t xml:space="preserve"> за відсутності виняткових обставин</w:t>
      </w:r>
      <w:r w:rsidRPr="00CA56CE">
        <w:rPr>
          <w:rFonts w:ascii="Times New Roman" w:eastAsia="Times New Roman" w:hAnsi="Times New Roman" w:cs="Times New Roman"/>
          <w:color w:val="333333"/>
          <w:sz w:val="24"/>
          <w:szCs w:val="24"/>
          <w:lang w:val="uk-UA"/>
        </w:rPr>
        <w:t>. Це свідчить про вироблення Україною презумпції на користь матері в справах опіки над дитиною.</w:t>
      </w:r>
    </w:p>
    <w:p w14:paraId="1A385994" w14:textId="77777777" w:rsidR="00231CF6" w:rsidRDefault="00231CF6"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53" w14:textId="3F8D06FC"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Разом із тим, така презумпція на користь матері не підтримується ні практикою на рівні ООН, ні судовою практикою ЄСПЛ і не відповідає позиції Ради Європи.</w:t>
      </w:r>
      <w:r w:rsidR="00231CF6">
        <w:rPr>
          <w:rFonts w:ascii="Times New Roman" w:eastAsia="Times New Roman" w:hAnsi="Times New Roman" w:cs="Times New Roman"/>
          <w:color w:val="333333"/>
          <w:sz w:val="24"/>
          <w:szCs w:val="24"/>
          <w:lang w:val="uk-UA"/>
        </w:rPr>
        <w:t xml:space="preserve"> </w:t>
      </w:r>
      <w:r w:rsidRPr="00CA56CE">
        <w:rPr>
          <w:rFonts w:ascii="Times New Roman" w:eastAsia="Times New Roman" w:hAnsi="Times New Roman" w:cs="Times New Roman"/>
          <w:color w:val="333333"/>
          <w:sz w:val="24"/>
          <w:szCs w:val="24"/>
          <w:lang w:val="uk-UA"/>
        </w:rPr>
        <w:t xml:space="preserve">Крім того, Декларація ООН не є юридично обов’язковим документом. Натомість, юридично </w:t>
      </w:r>
      <w:r w:rsidR="00E779C1" w:rsidRPr="00CA56CE">
        <w:rPr>
          <w:rFonts w:ascii="Times New Roman" w:eastAsia="Times New Roman" w:hAnsi="Times New Roman" w:cs="Times New Roman"/>
          <w:color w:val="333333"/>
          <w:sz w:val="24"/>
          <w:szCs w:val="24"/>
          <w:lang w:val="uk-UA"/>
        </w:rPr>
        <w:t>обов’язковою</w:t>
      </w:r>
      <w:r w:rsidRPr="00CA56CE">
        <w:rPr>
          <w:rFonts w:ascii="Times New Roman" w:eastAsia="Times New Roman" w:hAnsi="Times New Roman" w:cs="Times New Roman"/>
          <w:color w:val="333333"/>
          <w:sz w:val="24"/>
          <w:szCs w:val="24"/>
          <w:lang w:val="uk-UA"/>
        </w:rPr>
        <w:t xml:space="preserve"> є Конвенція ООН про права дитини 1989 року, яка наділяє батьків рівними правами стосовно виховання та участі в житті дитини. Крім того, існує консенсус, що в усіх рішеннях щодо дітей мають переважати найкращі інтереси саме дітей.</w:t>
      </w:r>
    </w:p>
    <w:p w14:paraId="00000054" w14:textId="77777777"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 </w:t>
      </w:r>
    </w:p>
    <w:p w14:paraId="00000055" w14:textId="77777777"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b/>
          <w:color w:val="333333"/>
          <w:sz w:val="24"/>
          <w:szCs w:val="24"/>
          <w:u w:val="single"/>
          <w:lang w:val="uk-UA"/>
        </w:rPr>
      </w:pPr>
      <w:r w:rsidRPr="00CA56CE">
        <w:rPr>
          <w:rFonts w:ascii="Times New Roman" w:eastAsia="Times New Roman" w:hAnsi="Times New Roman" w:cs="Times New Roman"/>
          <w:b/>
          <w:color w:val="333333"/>
          <w:sz w:val="24"/>
          <w:szCs w:val="24"/>
          <w:u w:val="single"/>
          <w:lang w:val="uk-UA"/>
        </w:rPr>
        <w:t>Поступова зміна національної правової практики</w:t>
      </w:r>
    </w:p>
    <w:p w14:paraId="00000056" w14:textId="61E8A65D"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Верховний Суд посилається на справу «М.С. проти України» разом зі справою «Мамчур проти України» у вирішенні спорів, що стосуються дітей. Ця справа ввела в правову практику України принцип «найкращих інтересів дитини» і те, що в найкращих інтересах дитини зберігати </w:t>
      </w:r>
      <w:r w:rsidR="000819E8" w:rsidRPr="00CA56CE">
        <w:rPr>
          <w:rFonts w:ascii="Times New Roman" w:eastAsia="Times New Roman" w:hAnsi="Times New Roman" w:cs="Times New Roman"/>
          <w:color w:val="333333"/>
          <w:sz w:val="24"/>
          <w:szCs w:val="24"/>
          <w:lang w:val="uk-UA"/>
        </w:rPr>
        <w:t>зв’язки</w:t>
      </w:r>
      <w:r w:rsidRPr="00CA56CE">
        <w:rPr>
          <w:rFonts w:ascii="Times New Roman" w:eastAsia="Times New Roman" w:hAnsi="Times New Roman" w:cs="Times New Roman"/>
          <w:color w:val="333333"/>
          <w:sz w:val="24"/>
          <w:szCs w:val="24"/>
          <w:lang w:val="uk-UA"/>
        </w:rPr>
        <w:t xml:space="preserve"> із </w:t>
      </w:r>
      <w:r w:rsidR="00E779C1" w:rsidRPr="00CA56CE">
        <w:rPr>
          <w:rFonts w:ascii="Times New Roman" w:eastAsia="Times New Roman" w:hAnsi="Times New Roman" w:cs="Times New Roman"/>
          <w:color w:val="333333"/>
          <w:sz w:val="24"/>
          <w:szCs w:val="24"/>
          <w:lang w:val="uk-UA"/>
        </w:rPr>
        <w:t>сім’єю</w:t>
      </w:r>
      <w:r w:rsidRPr="00CA56CE">
        <w:rPr>
          <w:rFonts w:ascii="Times New Roman" w:eastAsia="Times New Roman" w:hAnsi="Times New Roman" w:cs="Times New Roman"/>
          <w:color w:val="333333"/>
          <w:sz w:val="24"/>
          <w:szCs w:val="24"/>
          <w:lang w:val="uk-UA"/>
        </w:rPr>
        <w:t xml:space="preserve"> та розвиватися у безпечному, спокійному та стійкому середовищі, яке не є неблагополучним.</w:t>
      </w:r>
    </w:p>
    <w:p w14:paraId="79CF8AD8" w14:textId="77777777" w:rsidR="00231CF6" w:rsidRDefault="00231CF6"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57" w14:textId="2051B669"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Вперше на цю справу ВС послався в постанові від 21.02.2018 року у</w:t>
      </w:r>
      <w:hyperlink r:id="rId6">
        <w:r w:rsidRPr="00CA56CE">
          <w:rPr>
            <w:rFonts w:ascii="Times New Roman" w:eastAsia="Times New Roman" w:hAnsi="Times New Roman" w:cs="Times New Roman"/>
            <w:color w:val="333333"/>
            <w:sz w:val="24"/>
            <w:szCs w:val="24"/>
            <w:lang w:val="uk-UA"/>
          </w:rPr>
          <w:t xml:space="preserve"> </w:t>
        </w:r>
      </w:hyperlink>
      <w:hyperlink r:id="rId7">
        <w:r w:rsidRPr="00CA56CE">
          <w:rPr>
            <w:rFonts w:ascii="Times New Roman" w:eastAsia="Times New Roman" w:hAnsi="Times New Roman" w:cs="Times New Roman"/>
            <w:color w:val="1155CC"/>
            <w:sz w:val="24"/>
            <w:szCs w:val="24"/>
            <w:u w:val="single"/>
            <w:lang w:val="uk-UA"/>
          </w:rPr>
          <w:t>справі</w:t>
        </w:r>
      </w:hyperlink>
      <w:r w:rsidRPr="00CA56CE">
        <w:rPr>
          <w:rFonts w:ascii="Times New Roman" w:eastAsia="Times New Roman" w:hAnsi="Times New Roman" w:cs="Times New Roman"/>
          <w:color w:val="333333"/>
          <w:sz w:val="24"/>
          <w:szCs w:val="24"/>
          <w:lang w:val="uk-UA"/>
        </w:rPr>
        <w:t xml:space="preserve"> № 650/385/16-ц, у якій забезпечуючи найкращі інтереси дитини визначив її місце проживання з батьком. Подальша практика ВС стабільна: постанова ВС від 25.07.2019 року у</w:t>
      </w:r>
      <w:hyperlink r:id="rId8">
        <w:r w:rsidRPr="00CA56CE">
          <w:rPr>
            <w:rFonts w:ascii="Times New Roman" w:eastAsia="Times New Roman" w:hAnsi="Times New Roman" w:cs="Times New Roman"/>
            <w:color w:val="333333"/>
            <w:sz w:val="24"/>
            <w:szCs w:val="24"/>
            <w:lang w:val="uk-UA"/>
          </w:rPr>
          <w:t xml:space="preserve"> </w:t>
        </w:r>
      </w:hyperlink>
      <w:hyperlink r:id="rId9">
        <w:r w:rsidRPr="00CA56CE">
          <w:rPr>
            <w:rFonts w:ascii="Times New Roman" w:eastAsia="Times New Roman" w:hAnsi="Times New Roman" w:cs="Times New Roman"/>
            <w:color w:val="1155CC"/>
            <w:sz w:val="24"/>
            <w:szCs w:val="24"/>
            <w:u w:val="single"/>
            <w:lang w:val="uk-UA"/>
          </w:rPr>
          <w:t>справі</w:t>
        </w:r>
      </w:hyperlink>
      <w:r w:rsidRPr="00CA56CE">
        <w:rPr>
          <w:rFonts w:ascii="Times New Roman" w:eastAsia="Times New Roman" w:hAnsi="Times New Roman" w:cs="Times New Roman"/>
          <w:color w:val="333333"/>
          <w:sz w:val="24"/>
          <w:szCs w:val="24"/>
          <w:lang w:val="uk-UA"/>
        </w:rPr>
        <w:t xml:space="preserve"> № 360/1437/17, постанова ВС від 09.09.2020 року у</w:t>
      </w:r>
      <w:hyperlink r:id="rId10">
        <w:r w:rsidRPr="00CA56CE">
          <w:rPr>
            <w:rFonts w:ascii="Times New Roman" w:eastAsia="Times New Roman" w:hAnsi="Times New Roman" w:cs="Times New Roman"/>
            <w:color w:val="333333"/>
            <w:sz w:val="24"/>
            <w:szCs w:val="24"/>
            <w:lang w:val="uk-UA"/>
          </w:rPr>
          <w:t xml:space="preserve"> </w:t>
        </w:r>
      </w:hyperlink>
      <w:hyperlink r:id="rId11">
        <w:r w:rsidRPr="00CA56CE">
          <w:rPr>
            <w:rFonts w:ascii="Times New Roman" w:eastAsia="Times New Roman" w:hAnsi="Times New Roman" w:cs="Times New Roman"/>
            <w:color w:val="1155CC"/>
            <w:sz w:val="24"/>
            <w:szCs w:val="24"/>
            <w:u w:val="single"/>
            <w:lang w:val="uk-UA"/>
          </w:rPr>
          <w:t>справі</w:t>
        </w:r>
      </w:hyperlink>
      <w:r w:rsidRPr="00CA56CE">
        <w:rPr>
          <w:rFonts w:ascii="Times New Roman" w:eastAsia="Times New Roman" w:hAnsi="Times New Roman" w:cs="Times New Roman"/>
          <w:color w:val="333333"/>
          <w:sz w:val="24"/>
          <w:szCs w:val="24"/>
          <w:lang w:val="uk-UA"/>
        </w:rPr>
        <w:t xml:space="preserve"> № 400/936/18, постанова ВС від 12.08.2021 року у</w:t>
      </w:r>
      <w:hyperlink r:id="rId12">
        <w:r w:rsidRPr="00CA56CE">
          <w:rPr>
            <w:rFonts w:ascii="Times New Roman" w:eastAsia="Times New Roman" w:hAnsi="Times New Roman" w:cs="Times New Roman"/>
            <w:color w:val="333333"/>
            <w:sz w:val="24"/>
            <w:szCs w:val="24"/>
            <w:lang w:val="uk-UA"/>
          </w:rPr>
          <w:t xml:space="preserve"> </w:t>
        </w:r>
      </w:hyperlink>
      <w:hyperlink r:id="rId13">
        <w:r w:rsidRPr="00CA56CE">
          <w:rPr>
            <w:rFonts w:ascii="Times New Roman" w:eastAsia="Times New Roman" w:hAnsi="Times New Roman" w:cs="Times New Roman"/>
            <w:color w:val="1155CC"/>
            <w:sz w:val="24"/>
            <w:szCs w:val="24"/>
            <w:u w:val="single"/>
            <w:lang w:val="uk-UA"/>
          </w:rPr>
          <w:t>справі</w:t>
        </w:r>
      </w:hyperlink>
      <w:r w:rsidRPr="00CA56CE">
        <w:rPr>
          <w:rFonts w:ascii="Times New Roman" w:eastAsia="Times New Roman" w:hAnsi="Times New Roman" w:cs="Times New Roman"/>
          <w:color w:val="333333"/>
          <w:sz w:val="24"/>
          <w:szCs w:val="24"/>
          <w:lang w:val="uk-UA"/>
        </w:rPr>
        <w:t xml:space="preserve"> № 473/44/20-ц, постанова ВС від 22.06.2022 року у</w:t>
      </w:r>
      <w:hyperlink r:id="rId14">
        <w:r w:rsidRPr="00CA56CE">
          <w:rPr>
            <w:rFonts w:ascii="Times New Roman" w:eastAsia="Times New Roman" w:hAnsi="Times New Roman" w:cs="Times New Roman"/>
            <w:color w:val="333333"/>
            <w:sz w:val="24"/>
            <w:szCs w:val="24"/>
            <w:lang w:val="uk-UA"/>
          </w:rPr>
          <w:t xml:space="preserve"> </w:t>
        </w:r>
      </w:hyperlink>
      <w:hyperlink r:id="rId15">
        <w:r w:rsidRPr="00CA56CE">
          <w:rPr>
            <w:rFonts w:ascii="Times New Roman" w:eastAsia="Times New Roman" w:hAnsi="Times New Roman" w:cs="Times New Roman"/>
            <w:color w:val="1155CC"/>
            <w:sz w:val="24"/>
            <w:szCs w:val="24"/>
            <w:u w:val="single"/>
            <w:lang w:val="uk-UA"/>
          </w:rPr>
          <w:t>справі</w:t>
        </w:r>
      </w:hyperlink>
      <w:r w:rsidRPr="00CA56CE">
        <w:rPr>
          <w:rFonts w:ascii="Times New Roman" w:eastAsia="Times New Roman" w:hAnsi="Times New Roman" w:cs="Times New Roman"/>
          <w:color w:val="333333"/>
          <w:sz w:val="24"/>
          <w:szCs w:val="24"/>
          <w:lang w:val="uk-UA"/>
        </w:rPr>
        <w:t xml:space="preserve"> № 336/3145/20.</w:t>
      </w:r>
    </w:p>
    <w:p w14:paraId="09CCD3D6" w14:textId="77777777" w:rsidR="00231CF6" w:rsidRDefault="00231CF6"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58" w14:textId="2A0E8338"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Варто зауважити, що Верховний Суд дослухався до окремої думки судді Радзоні. Так, Велика Палата Верховного Суду у постанові від 17.10.2018 року у</w:t>
      </w:r>
      <w:hyperlink r:id="rId16">
        <w:r w:rsidRPr="00CA56CE">
          <w:rPr>
            <w:rFonts w:ascii="Times New Roman" w:eastAsia="Times New Roman" w:hAnsi="Times New Roman" w:cs="Times New Roman"/>
            <w:color w:val="333333"/>
            <w:sz w:val="24"/>
            <w:szCs w:val="24"/>
            <w:lang w:val="uk-UA"/>
          </w:rPr>
          <w:t xml:space="preserve"> </w:t>
        </w:r>
      </w:hyperlink>
      <w:hyperlink r:id="rId17">
        <w:r w:rsidRPr="00CA56CE">
          <w:rPr>
            <w:rFonts w:ascii="Times New Roman" w:eastAsia="Times New Roman" w:hAnsi="Times New Roman" w:cs="Times New Roman"/>
            <w:color w:val="1155CC"/>
            <w:sz w:val="24"/>
            <w:szCs w:val="24"/>
            <w:u w:val="single"/>
            <w:lang w:val="uk-UA"/>
          </w:rPr>
          <w:t>справі</w:t>
        </w:r>
      </w:hyperlink>
      <w:r w:rsidRPr="00CA56CE">
        <w:rPr>
          <w:rFonts w:ascii="Times New Roman" w:eastAsia="Times New Roman" w:hAnsi="Times New Roman" w:cs="Times New Roman"/>
          <w:color w:val="333333"/>
          <w:sz w:val="24"/>
          <w:szCs w:val="24"/>
          <w:lang w:val="uk-UA"/>
        </w:rPr>
        <w:t xml:space="preserve"> № 402/428/16-ц </w:t>
      </w:r>
      <w:r w:rsidRPr="00CA56CE">
        <w:rPr>
          <w:rFonts w:ascii="Times New Roman" w:eastAsia="Times New Roman" w:hAnsi="Times New Roman" w:cs="Times New Roman"/>
          <w:color w:val="333333"/>
          <w:sz w:val="24"/>
          <w:szCs w:val="24"/>
          <w:u w:val="single"/>
          <w:lang w:val="uk-UA"/>
        </w:rPr>
        <w:t>відступила від попередніх правових висновків</w:t>
      </w:r>
      <w:r w:rsidRPr="00CA56CE">
        <w:rPr>
          <w:rFonts w:ascii="Times New Roman" w:eastAsia="Times New Roman" w:hAnsi="Times New Roman" w:cs="Times New Roman"/>
          <w:color w:val="333333"/>
          <w:sz w:val="24"/>
          <w:szCs w:val="24"/>
          <w:lang w:val="uk-UA"/>
        </w:rPr>
        <w:t>:</w:t>
      </w:r>
      <w:r w:rsidRPr="00CA56CE">
        <w:rPr>
          <w:rFonts w:ascii="Times New Roman" w:eastAsia="Times New Roman" w:hAnsi="Times New Roman" w:cs="Times New Roman"/>
          <w:i/>
          <w:color w:val="333333"/>
          <w:sz w:val="24"/>
          <w:szCs w:val="24"/>
          <w:lang w:val="uk-UA"/>
        </w:rPr>
        <w:t xml:space="preserve"> «законодавство України не містить норм, які б наділяли будь-кого з батьків пріоритетним правом на проживання з дитиною. (...) Підсумовуючи, слід зазначити, що Декларація прав дитини не є міжнародним договором. Разом з тим положення </w:t>
      </w:r>
      <w:r w:rsidRPr="00CA56CE">
        <w:rPr>
          <w:rFonts w:ascii="Times New Roman" w:eastAsia="Times New Roman" w:hAnsi="Times New Roman" w:cs="Times New Roman"/>
          <w:i/>
          <w:color w:val="333333"/>
          <w:sz w:val="24"/>
          <w:szCs w:val="24"/>
          <w:lang w:val="uk-UA"/>
        </w:rPr>
        <w:lastRenderedPageBreak/>
        <w:t>Конвенції про права дитини від 20 листопада 1989 року, ратифікованої Верховною Радою України 27 лютого 1991 року, про те, що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(стаття 3), узгоджуються з нормами Конституції України та законів України, тому саме її норми зобов'язані враховувати усі суди України, розглядаючи справи, які стосуються прав дітей»</w:t>
      </w:r>
      <w:r w:rsidRPr="00CA56CE">
        <w:rPr>
          <w:rFonts w:ascii="Times New Roman" w:eastAsia="Times New Roman" w:hAnsi="Times New Roman" w:cs="Times New Roman"/>
          <w:color w:val="333333"/>
          <w:sz w:val="24"/>
          <w:szCs w:val="24"/>
          <w:lang w:val="uk-UA"/>
        </w:rPr>
        <w:t xml:space="preserve">. </w:t>
      </w:r>
    </w:p>
    <w:p w14:paraId="00000059" w14:textId="77777777" w:rsidR="007B708C" w:rsidRPr="00CA56CE" w:rsidRDefault="007B708C"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p>
    <w:p w14:paraId="0000005C" w14:textId="767DF7C4" w:rsidR="007B708C" w:rsidRPr="00CA56CE" w:rsidRDefault="00000000" w:rsidP="00231CF6">
      <w:pPr>
        <w:shd w:val="clear" w:color="auto" w:fill="FFFFFF"/>
        <w:tabs>
          <w:tab w:val="left" w:pos="284"/>
          <w:tab w:val="left" w:pos="851"/>
        </w:tabs>
        <w:jc w:val="both"/>
        <w:rPr>
          <w:rFonts w:ascii="Times New Roman" w:eastAsia="Times New Roman" w:hAnsi="Times New Roman" w:cs="Times New Roman"/>
          <w:color w:val="333333"/>
          <w:sz w:val="24"/>
          <w:szCs w:val="24"/>
          <w:lang w:val="uk-UA"/>
        </w:rPr>
      </w:pPr>
      <w:r w:rsidRPr="00CA56CE">
        <w:rPr>
          <w:rFonts w:ascii="Times New Roman" w:eastAsia="Times New Roman" w:hAnsi="Times New Roman" w:cs="Times New Roman"/>
          <w:color w:val="333333"/>
          <w:sz w:val="24"/>
          <w:szCs w:val="24"/>
          <w:lang w:val="uk-UA"/>
        </w:rPr>
        <w:t xml:space="preserve">Таким чином, справа </w:t>
      </w:r>
      <w:r w:rsidR="00CA56CE" w:rsidRPr="00CA56CE">
        <w:rPr>
          <w:rFonts w:ascii="Times New Roman" w:eastAsia="Times New Roman" w:hAnsi="Times New Roman" w:cs="Times New Roman"/>
          <w:color w:val="333333"/>
          <w:sz w:val="24"/>
          <w:szCs w:val="24"/>
          <w:lang w:val="uk-UA"/>
        </w:rPr>
        <w:t>«</w:t>
      </w:r>
      <w:r w:rsidRPr="00CA56CE">
        <w:rPr>
          <w:rFonts w:ascii="Times New Roman" w:eastAsia="Times New Roman" w:hAnsi="Times New Roman" w:cs="Times New Roman"/>
          <w:color w:val="333333"/>
          <w:sz w:val="24"/>
          <w:szCs w:val="24"/>
          <w:lang w:val="uk-UA"/>
        </w:rPr>
        <w:t>М.С. проти України</w:t>
      </w:r>
      <w:r w:rsidR="00CA56CE" w:rsidRPr="00CA56CE">
        <w:rPr>
          <w:rFonts w:ascii="Times New Roman" w:eastAsia="Times New Roman" w:hAnsi="Times New Roman" w:cs="Times New Roman"/>
          <w:color w:val="333333"/>
          <w:sz w:val="24"/>
          <w:szCs w:val="24"/>
          <w:lang w:val="uk-UA"/>
        </w:rPr>
        <w:t>»</w:t>
      </w:r>
      <w:r w:rsidRPr="00CA56CE">
        <w:rPr>
          <w:rFonts w:ascii="Times New Roman" w:eastAsia="Times New Roman" w:hAnsi="Times New Roman" w:cs="Times New Roman"/>
          <w:color w:val="333333"/>
          <w:sz w:val="24"/>
          <w:szCs w:val="24"/>
          <w:lang w:val="uk-UA"/>
        </w:rPr>
        <w:t xml:space="preserve"> цікава тим, що саме окрема думка до рішення ЄСПЛ вплинула на зміну національної практики України щодо запровадження презумпції рівності прав батьків дитини.</w:t>
      </w:r>
    </w:p>
    <w:sectPr w:rsidR="007B708C" w:rsidRPr="00CA56CE" w:rsidSect="00CA56CE">
      <w:headerReference w:type="default" r:id="rId18"/>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456D" w14:textId="77777777" w:rsidR="00FA00F9" w:rsidRDefault="00FA00F9">
      <w:pPr>
        <w:spacing w:line="240" w:lineRule="auto"/>
      </w:pPr>
      <w:r>
        <w:separator/>
      </w:r>
    </w:p>
  </w:endnote>
  <w:endnote w:type="continuationSeparator" w:id="0">
    <w:p w14:paraId="0439421D" w14:textId="77777777" w:rsidR="00FA00F9" w:rsidRDefault="00FA0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86C6" w14:textId="77777777" w:rsidR="00FA00F9" w:rsidRDefault="00FA00F9">
      <w:pPr>
        <w:spacing w:line="240" w:lineRule="auto"/>
      </w:pPr>
      <w:r>
        <w:separator/>
      </w:r>
    </w:p>
  </w:footnote>
  <w:footnote w:type="continuationSeparator" w:id="0">
    <w:p w14:paraId="0928E3A1" w14:textId="77777777" w:rsidR="00FA00F9" w:rsidRDefault="00FA0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7B708C" w:rsidRDefault="007B70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08C"/>
    <w:rsid w:val="000819E8"/>
    <w:rsid w:val="00231CF6"/>
    <w:rsid w:val="002609A9"/>
    <w:rsid w:val="0032555B"/>
    <w:rsid w:val="007B708C"/>
    <w:rsid w:val="007F6052"/>
    <w:rsid w:val="00824FAA"/>
    <w:rsid w:val="00943537"/>
    <w:rsid w:val="00CA56CE"/>
    <w:rsid w:val="00CB3F22"/>
    <w:rsid w:val="00E276CF"/>
    <w:rsid w:val="00E65E3D"/>
    <w:rsid w:val="00E779C1"/>
    <w:rsid w:val="00FA00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EF37"/>
  <w15:docId w15:val="{DFD54544-2BEF-D743-ADCF-A5515A3E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styleId="a5">
    <w:name w:val="Table Grid"/>
    <w:basedOn w:val="a1"/>
    <w:uiPriority w:val="39"/>
    <w:rsid w:val="00E65E3D"/>
    <w:pPr>
      <w:spacing w:line="240" w:lineRule="auto"/>
    </w:pPr>
    <w:rPr>
      <w:rFonts w:asciiTheme="minorHAnsi" w:eastAsiaTheme="minorHAnsi" w:hAnsiTheme="minorHAnsi" w:cstheme="minorBidi"/>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95967">
      <w:bodyDiv w:val="1"/>
      <w:marLeft w:val="0"/>
      <w:marRight w:val="0"/>
      <w:marTop w:val="0"/>
      <w:marBottom w:val="0"/>
      <w:divBdr>
        <w:top w:val="none" w:sz="0" w:space="0" w:color="auto"/>
        <w:left w:val="none" w:sz="0" w:space="0" w:color="auto"/>
        <w:bottom w:val="none" w:sz="0" w:space="0" w:color="auto"/>
        <w:right w:val="none" w:sz="0" w:space="0" w:color="auto"/>
      </w:divBdr>
    </w:div>
    <w:div w:id="971520971">
      <w:bodyDiv w:val="1"/>
      <w:marLeft w:val="0"/>
      <w:marRight w:val="0"/>
      <w:marTop w:val="0"/>
      <w:marBottom w:val="0"/>
      <w:divBdr>
        <w:top w:val="none" w:sz="0" w:space="0" w:color="auto"/>
        <w:left w:val="none" w:sz="0" w:space="0" w:color="auto"/>
        <w:bottom w:val="none" w:sz="0" w:space="0" w:color="auto"/>
        <w:right w:val="none" w:sz="0" w:space="0" w:color="auto"/>
      </w:divBdr>
    </w:div>
    <w:div w:id="1338926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83387363" TargetMode="External"/><Relationship Id="rId13" Type="http://schemas.openxmlformats.org/officeDocument/2006/relationships/hyperlink" Target="https://reyestr.court.gov.ua/Review/99037693"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yestr.court.gov.ua/Review/72561232" TargetMode="External"/><Relationship Id="rId12" Type="http://schemas.openxmlformats.org/officeDocument/2006/relationships/hyperlink" Target="https://reyestr.court.gov.ua/Review/99037693" TargetMode="External"/><Relationship Id="rId17" Type="http://schemas.openxmlformats.org/officeDocument/2006/relationships/hyperlink" Target="https://reyestr.court.gov.ua/Review/77361954" TargetMode="External"/><Relationship Id="rId2" Type="http://schemas.openxmlformats.org/officeDocument/2006/relationships/settings" Target="settings.xml"/><Relationship Id="rId16" Type="http://schemas.openxmlformats.org/officeDocument/2006/relationships/hyperlink" Target="https://reyestr.court.gov.ua/Review/7736195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yestr.court.gov.ua/Review/72561232" TargetMode="External"/><Relationship Id="rId11" Type="http://schemas.openxmlformats.org/officeDocument/2006/relationships/hyperlink" Target="https://reyestr.court.gov.ua/Review/91614148" TargetMode="External"/><Relationship Id="rId5" Type="http://schemas.openxmlformats.org/officeDocument/2006/relationships/endnotes" Target="endnotes.xml"/><Relationship Id="rId15" Type="http://schemas.openxmlformats.org/officeDocument/2006/relationships/hyperlink" Target="https://reyestr.court.gov.ua/Review/104957088" TargetMode="External"/><Relationship Id="rId10" Type="http://schemas.openxmlformats.org/officeDocument/2006/relationships/hyperlink" Target="https://reyestr.court.gov.ua/Review/91614148"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yestr.court.gov.ua/Review/83387363" TargetMode="External"/><Relationship Id="rId14" Type="http://schemas.openxmlformats.org/officeDocument/2006/relationships/hyperlink" Target="https://reyestr.court.gov.ua/Review/104957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4282</Words>
  <Characters>2441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Poiedynok</dc:creator>
  <cp:lastModifiedBy>Olga Poiedynok</cp:lastModifiedBy>
  <cp:revision>3</cp:revision>
  <dcterms:created xsi:type="dcterms:W3CDTF">2023-02-26T11:41:00Z</dcterms:created>
  <dcterms:modified xsi:type="dcterms:W3CDTF">2023-02-26T12:16:00Z</dcterms:modified>
</cp:coreProperties>
</file>