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6095"/>
      </w:tblGrid>
      <w:tr w:rsidR="00C75D63" w14:paraId="38A4BCCF" w14:textId="77777777" w:rsidTr="00C75D63">
        <w:tc>
          <w:tcPr>
            <w:tcW w:w="3544" w:type="dxa"/>
          </w:tcPr>
          <w:p w14:paraId="59C4783B" w14:textId="77777777" w:rsidR="00C75D63" w:rsidRDefault="00C75D63" w:rsidP="008B48FF">
            <w:pPr>
              <w:spacing w:before="120" w:after="120" w:line="276" w:lineRule="auto"/>
              <w:jc w:val="center"/>
              <w:rPr>
                <w:b/>
                <w:bCs/>
                <w:sz w:val="24"/>
                <w:szCs w:val="24"/>
                <w:u w:val="single"/>
              </w:rPr>
            </w:pPr>
          </w:p>
        </w:tc>
        <w:tc>
          <w:tcPr>
            <w:tcW w:w="6095" w:type="dxa"/>
          </w:tcPr>
          <w:p w14:paraId="013EDA9D" w14:textId="77777777" w:rsidR="00C75D63" w:rsidRDefault="00C75D63" w:rsidP="008B48FF">
            <w:pPr>
              <w:spacing w:line="276" w:lineRule="auto"/>
              <w:rPr>
                <w:rFonts w:ascii="Times New Roman" w:hAnsi="Times New Roman" w:cs="Times New Roman"/>
                <w:b/>
                <w:bCs/>
                <w:i/>
                <w:iCs/>
                <w:sz w:val="24"/>
                <w:szCs w:val="24"/>
              </w:rPr>
            </w:pPr>
            <w:r w:rsidRPr="00C75D63">
              <w:rPr>
                <w:rFonts w:ascii="Times New Roman" w:hAnsi="Times New Roman" w:cs="Times New Roman"/>
                <w:b/>
                <w:bCs/>
                <w:i/>
                <w:iCs/>
                <w:sz w:val="24"/>
                <w:szCs w:val="24"/>
              </w:rPr>
              <w:t>Сасанчин Василь Ярославович</w:t>
            </w:r>
          </w:p>
          <w:p w14:paraId="3A41124B" w14:textId="21F2F8C8" w:rsidR="00C75D63" w:rsidRPr="00C75D63" w:rsidRDefault="00C75D63" w:rsidP="008B48FF">
            <w:pPr>
              <w:spacing w:line="276" w:lineRule="auto"/>
              <w:rPr>
                <w:rFonts w:ascii="Times New Roman" w:hAnsi="Times New Roman" w:cs="Times New Roman"/>
                <w:sz w:val="24"/>
                <w:szCs w:val="24"/>
              </w:rPr>
            </w:pPr>
            <w:r w:rsidRPr="00C75D63">
              <w:rPr>
                <w:rFonts w:ascii="Times New Roman" w:hAnsi="Times New Roman" w:cs="Times New Roman"/>
                <w:sz w:val="24"/>
                <w:szCs w:val="24"/>
              </w:rPr>
              <w:t>Навчально-науковий інститут міжнародних відносин Київського національного університету ім. Т. Шевченка,</w:t>
            </w:r>
          </w:p>
          <w:p w14:paraId="6D678D4D" w14:textId="77777777" w:rsidR="00C75D63" w:rsidRDefault="00C75D63" w:rsidP="008B48FF">
            <w:pPr>
              <w:spacing w:line="276" w:lineRule="auto"/>
              <w:rPr>
                <w:b/>
                <w:bCs/>
                <w:sz w:val="24"/>
                <w:szCs w:val="24"/>
                <w:u w:val="single"/>
              </w:rPr>
            </w:pPr>
            <w:r w:rsidRPr="00C75D63">
              <w:rPr>
                <w:rFonts w:ascii="Times New Roman" w:hAnsi="Times New Roman" w:cs="Times New Roman"/>
                <w:sz w:val="24"/>
                <w:szCs w:val="24"/>
              </w:rPr>
              <w:t>магістерська освітньо-наукова програма «Міжнародне право», спеціалізація «Міжнародний захист прав людини», ІІ рік навчання, група 1</w:t>
            </w:r>
          </w:p>
        </w:tc>
      </w:tr>
    </w:tbl>
    <w:p w14:paraId="68589766" w14:textId="77777777" w:rsidR="001C209F" w:rsidRDefault="001C209F" w:rsidP="001C209F">
      <w:pPr>
        <w:pStyle w:val="p1"/>
        <w:jc w:val="right"/>
        <w:rPr>
          <w:rStyle w:val="s1"/>
          <w:b/>
          <w:bCs/>
        </w:rPr>
      </w:pPr>
    </w:p>
    <w:p w14:paraId="1F70DCB2" w14:textId="77777777" w:rsidR="001C209F" w:rsidRDefault="001C209F" w:rsidP="00175EB9">
      <w:pPr>
        <w:pStyle w:val="p1"/>
        <w:jc w:val="center"/>
        <w:rPr>
          <w:rStyle w:val="s1"/>
          <w:b/>
          <w:bCs/>
        </w:rPr>
      </w:pPr>
    </w:p>
    <w:p w14:paraId="792DE236" w14:textId="73E816B4" w:rsidR="007A0BFC" w:rsidRDefault="007A0BFC" w:rsidP="00175EB9">
      <w:pPr>
        <w:pStyle w:val="p1"/>
        <w:jc w:val="center"/>
        <w:rPr>
          <w:rStyle w:val="apple-converted-space"/>
          <w:rFonts w:ascii="UICTFontTextStyleBody" w:hAnsi="UICTFontTextStyleBody"/>
          <w:b/>
          <w:bCs/>
          <w:lang w:val="en-US"/>
        </w:rPr>
      </w:pPr>
      <w:r w:rsidRPr="00175EB9">
        <w:rPr>
          <w:rStyle w:val="s1"/>
          <w:b/>
          <w:bCs/>
        </w:rPr>
        <w:t>Сміт і Грейді проти Великобританії</w:t>
      </w:r>
      <w:r w:rsidRPr="00175EB9">
        <w:rPr>
          <w:rStyle w:val="apple-converted-space"/>
          <w:rFonts w:ascii="UICTFontTextStyleBody" w:hAnsi="UICTFontTextStyleBody"/>
          <w:b/>
          <w:bCs/>
        </w:rPr>
        <w:t> </w:t>
      </w:r>
      <w:r w:rsidR="00CF21E9" w:rsidRPr="00175EB9">
        <w:rPr>
          <w:rStyle w:val="apple-converted-space"/>
          <w:rFonts w:ascii="UICTFontTextStyleBody" w:hAnsi="UICTFontTextStyleBody"/>
          <w:b/>
          <w:bCs/>
          <w:lang w:val="en-US"/>
        </w:rPr>
        <w:t>(1999)</w:t>
      </w:r>
    </w:p>
    <w:p w14:paraId="29BBF19A" w14:textId="77777777" w:rsidR="007762B4" w:rsidRPr="00175EB9" w:rsidRDefault="007762B4" w:rsidP="00175EB9">
      <w:pPr>
        <w:pStyle w:val="p1"/>
        <w:jc w:val="center"/>
        <w:rPr>
          <w:rStyle w:val="apple-converted-space"/>
          <w:rFonts w:ascii="UICTFontTextStyleBody" w:hAnsi="UICTFontTextStyleBody"/>
          <w:b/>
          <w:bCs/>
          <w:lang w:val="en-US"/>
        </w:rPr>
      </w:pPr>
    </w:p>
    <w:p w14:paraId="540DB8E9" w14:textId="7BE74FAA" w:rsidR="00CF21E9" w:rsidRPr="007762B4" w:rsidRDefault="007762B4" w:rsidP="007762B4">
      <w:pPr>
        <w:pStyle w:val="p1"/>
        <w:jc w:val="center"/>
        <w:rPr>
          <w:rStyle w:val="apple-converted-space"/>
          <w:rFonts w:ascii="Times New Roman" w:hAnsi="Times New Roman"/>
          <w:sz w:val="28"/>
          <w:szCs w:val="28"/>
          <w:lang w:val="en-US"/>
        </w:rPr>
      </w:pPr>
      <w:r w:rsidRPr="007762B4">
        <w:rPr>
          <w:rStyle w:val="apple-converted-space"/>
          <w:rFonts w:ascii="Times New Roman" w:hAnsi="Times New Roman"/>
          <w:sz w:val="28"/>
          <w:szCs w:val="28"/>
          <w:lang w:val="en-US"/>
        </w:rPr>
        <w:t>Smith and Grady v</w:t>
      </w:r>
      <w:r>
        <w:rPr>
          <w:rStyle w:val="apple-converted-space"/>
          <w:rFonts w:ascii="Times New Roman" w:hAnsi="Times New Roman"/>
          <w:sz w:val="28"/>
          <w:szCs w:val="28"/>
          <w:lang w:val="en-US"/>
        </w:rPr>
        <w:t>. the</w:t>
      </w:r>
      <w:r w:rsidRPr="007762B4">
        <w:rPr>
          <w:rStyle w:val="apple-converted-space"/>
          <w:rFonts w:ascii="Times New Roman" w:hAnsi="Times New Roman"/>
          <w:sz w:val="28"/>
          <w:szCs w:val="28"/>
          <w:lang w:val="en-US"/>
        </w:rPr>
        <w:t xml:space="preserve"> United Kingdom</w:t>
      </w:r>
    </w:p>
    <w:p w14:paraId="4E69F758" w14:textId="77777777" w:rsidR="001C209F" w:rsidRDefault="001C209F">
      <w:pPr>
        <w:pStyle w:val="p1"/>
        <w:rPr>
          <w:rStyle w:val="apple-converted-space"/>
          <w:rFonts w:ascii="UICTFontTextStyleBody" w:hAnsi="UICTFontTextStyleBody"/>
          <w:lang w:val="en-US"/>
        </w:rPr>
      </w:pPr>
    </w:p>
    <w:p w14:paraId="7A968E0F" w14:textId="68F3D002" w:rsidR="00CF21E9" w:rsidRDefault="00CF21E9">
      <w:pPr>
        <w:pStyle w:val="p1"/>
        <w:rPr>
          <w:rStyle w:val="apple-converted-space"/>
          <w:rFonts w:ascii="UICTFontTextStyleBody" w:hAnsi="UICTFontTextStyleBody"/>
        </w:rPr>
      </w:pPr>
    </w:p>
    <w:p w14:paraId="6C7FC061" w14:textId="4B8A11AB" w:rsidR="005534A9" w:rsidRPr="001C209F" w:rsidRDefault="005C5B55">
      <w:pPr>
        <w:pStyle w:val="p1"/>
        <w:rPr>
          <w:rStyle w:val="apple-converted-space"/>
          <w:rFonts w:ascii="Times New Roman" w:hAnsi="Times New Roman"/>
          <w:sz w:val="28"/>
          <w:szCs w:val="28"/>
        </w:rPr>
      </w:pPr>
      <w:r>
        <w:rPr>
          <w:rStyle w:val="apple-converted-space"/>
          <w:rFonts w:ascii="Times New Roman" w:hAnsi="Times New Roman"/>
          <w:sz w:val="28"/>
          <w:szCs w:val="28"/>
        </w:rPr>
        <w:t>Д</w:t>
      </w:r>
      <w:r w:rsidR="004655D5" w:rsidRPr="001C209F">
        <w:rPr>
          <w:rStyle w:val="apple-converted-space"/>
          <w:rFonts w:ascii="Times New Roman" w:hAnsi="Times New Roman"/>
          <w:sz w:val="28"/>
          <w:szCs w:val="28"/>
        </w:rPr>
        <w:t xml:space="preserve">ана справа стала </w:t>
      </w:r>
      <w:r w:rsidR="000307A0" w:rsidRPr="001C209F">
        <w:rPr>
          <w:rStyle w:val="apple-converted-space"/>
          <w:rFonts w:ascii="Times New Roman" w:hAnsi="Times New Roman"/>
          <w:sz w:val="28"/>
          <w:szCs w:val="28"/>
        </w:rPr>
        <w:t xml:space="preserve">проривом у видимості та захисті прав ЛГБТ спільноти в Збройних силах Великобританії. </w:t>
      </w:r>
    </w:p>
    <w:p w14:paraId="5E525C96" w14:textId="18B6D564" w:rsidR="003A1AFB" w:rsidRPr="009037EE" w:rsidRDefault="003A1AFB">
      <w:pPr>
        <w:pStyle w:val="p1"/>
        <w:rPr>
          <w:rStyle w:val="apple-converted-space"/>
          <w:rFonts w:ascii="Times New Roman" w:hAnsi="Times New Roman"/>
          <w:sz w:val="28"/>
          <w:szCs w:val="28"/>
          <w:lang w:val="en-US"/>
        </w:rPr>
      </w:pPr>
    </w:p>
    <w:p w14:paraId="3E7420CA" w14:textId="6A85C822" w:rsidR="003A1AFB" w:rsidRPr="001C209F" w:rsidRDefault="003A1AFB" w:rsidP="003A1AFB">
      <w:pPr>
        <w:pStyle w:val="p1"/>
        <w:rPr>
          <w:rFonts w:ascii="Times New Roman" w:hAnsi="Times New Roman"/>
          <w:sz w:val="28"/>
          <w:szCs w:val="28"/>
        </w:rPr>
      </w:pPr>
      <w:r w:rsidRPr="001C209F">
        <w:rPr>
          <w:rFonts w:ascii="Times New Roman" w:hAnsi="Times New Roman"/>
          <w:sz w:val="28"/>
          <w:szCs w:val="28"/>
        </w:rPr>
        <w:t>Обидва заявники, служили в Королівських військово-повітряних силах Сполученого Королівства і були звільнені зі служби через свою сексуальну орієнтацію. Офіційне розслідування перед таким звільненням і подальше звільнення стверджувалося як втручання в приватне життя заявників, захищене статтею 8 ЄКПЛ. Заявники також посилалися на статтю 3 (Заборона тортур) і статтю 10 (Свобода вираження поглядів) ЄКПЛ, взяті окремо та в поєднанні зі статтею 14 (Заборона дискримінації) ЄКПЛ стосовно політики Міністерства оборони щодо го</w:t>
      </w:r>
      <w:r w:rsidR="002F0CAC" w:rsidRPr="001C209F">
        <w:rPr>
          <w:rFonts w:ascii="Times New Roman" w:hAnsi="Times New Roman"/>
          <w:sz w:val="28"/>
          <w:szCs w:val="28"/>
        </w:rPr>
        <w:t>мосексуалів</w:t>
      </w:r>
      <w:r w:rsidRPr="001C209F">
        <w:rPr>
          <w:rFonts w:ascii="Times New Roman" w:hAnsi="Times New Roman"/>
          <w:sz w:val="28"/>
          <w:szCs w:val="28"/>
        </w:rPr>
        <w:t xml:space="preserve"> у Збройн</w:t>
      </w:r>
      <w:r w:rsidR="002F0CAC" w:rsidRPr="001C209F">
        <w:rPr>
          <w:rFonts w:ascii="Times New Roman" w:hAnsi="Times New Roman"/>
          <w:sz w:val="28"/>
          <w:szCs w:val="28"/>
        </w:rPr>
        <w:t>их</w:t>
      </w:r>
      <w:r w:rsidRPr="001C209F">
        <w:rPr>
          <w:rFonts w:ascii="Times New Roman" w:hAnsi="Times New Roman"/>
          <w:sz w:val="28"/>
          <w:szCs w:val="28"/>
        </w:rPr>
        <w:t xml:space="preserve"> сил</w:t>
      </w:r>
      <w:r w:rsidR="002F0CAC" w:rsidRPr="001C209F">
        <w:rPr>
          <w:rFonts w:ascii="Times New Roman" w:hAnsi="Times New Roman"/>
          <w:sz w:val="28"/>
          <w:szCs w:val="28"/>
        </w:rPr>
        <w:t xml:space="preserve">ах </w:t>
      </w:r>
      <w:r w:rsidRPr="001C209F">
        <w:rPr>
          <w:rFonts w:ascii="Times New Roman" w:hAnsi="Times New Roman"/>
          <w:sz w:val="28"/>
          <w:szCs w:val="28"/>
        </w:rPr>
        <w:t xml:space="preserve">та наступні розслідування </w:t>
      </w:r>
      <w:r w:rsidR="002F0CAC" w:rsidRPr="001C209F">
        <w:rPr>
          <w:rFonts w:ascii="Times New Roman" w:hAnsi="Times New Roman"/>
          <w:sz w:val="28"/>
          <w:szCs w:val="28"/>
        </w:rPr>
        <w:t xml:space="preserve">і </w:t>
      </w:r>
      <w:r w:rsidRPr="001C209F">
        <w:rPr>
          <w:rFonts w:ascii="Times New Roman" w:hAnsi="Times New Roman"/>
          <w:sz w:val="28"/>
          <w:szCs w:val="28"/>
        </w:rPr>
        <w:t>звільнення. Вони також скаржилися за статтею 13 (Право на ефективний засіб правового захисту) ЄКПЛ, що вони не мали ефективного національного засобу правового захисту від цих порушень.</w:t>
      </w:r>
    </w:p>
    <w:p w14:paraId="081AB748" w14:textId="77777777" w:rsidR="003A1AFB" w:rsidRPr="001C209F" w:rsidRDefault="003A1AFB" w:rsidP="003A1AFB">
      <w:pPr>
        <w:pStyle w:val="p1"/>
        <w:rPr>
          <w:rFonts w:ascii="Times New Roman" w:hAnsi="Times New Roman"/>
          <w:sz w:val="28"/>
          <w:szCs w:val="28"/>
        </w:rPr>
      </w:pPr>
    </w:p>
    <w:p w14:paraId="39250A36" w14:textId="522FBB94" w:rsidR="003A1AFB" w:rsidRDefault="003A1AFB">
      <w:pPr>
        <w:pStyle w:val="p1"/>
        <w:rPr>
          <w:rFonts w:ascii="Times New Roman" w:hAnsi="Times New Roman"/>
          <w:sz w:val="28"/>
          <w:szCs w:val="28"/>
        </w:rPr>
      </w:pPr>
      <w:r w:rsidRPr="001C209F">
        <w:rPr>
          <w:rFonts w:ascii="Times New Roman" w:hAnsi="Times New Roman"/>
          <w:sz w:val="28"/>
          <w:szCs w:val="28"/>
        </w:rPr>
        <w:t>Європейський суд з прав людини постановив, що хоча втручання до статті 8 ЄКПЛ було «відповідно до закону» та «з метою досягнення законної мети», воно не було «необхідним у демократичн</w:t>
      </w:r>
      <w:r w:rsidR="0041704D" w:rsidRPr="001C209F">
        <w:rPr>
          <w:rFonts w:ascii="Times New Roman" w:hAnsi="Times New Roman"/>
          <w:sz w:val="28"/>
          <w:szCs w:val="28"/>
        </w:rPr>
        <w:t>ому</w:t>
      </w:r>
      <w:r w:rsidRPr="001C209F">
        <w:rPr>
          <w:rFonts w:ascii="Times New Roman" w:hAnsi="Times New Roman"/>
          <w:sz w:val="28"/>
          <w:szCs w:val="28"/>
        </w:rPr>
        <w:t xml:space="preserve"> суспільств</w:t>
      </w:r>
      <w:r w:rsidR="0041704D" w:rsidRPr="001C209F">
        <w:rPr>
          <w:rFonts w:ascii="Times New Roman" w:hAnsi="Times New Roman"/>
          <w:sz w:val="28"/>
          <w:szCs w:val="28"/>
        </w:rPr>
        <w:t>і</w:t>
      </w:r>
      <w:r w:rsidRPr="001C209F">
        <w:rPr>
          <w:rFonts w:ascii="Times New Roman" w:hAnsi="Times New Roman"/>
          <w:sz w:val="28"/>
          <w:szCs w:val="28"/>
        </w:rPr>
        <w:t>». Таким чином, розслідування та звільнення зі служби були визнані порушенням права на приватне життя, гарантованого статтею 8 ЄКПЛ. Суд також встановив порушення статті 13 ЄКПЛ, яка гарантує право на ефективний засіб правового захисту, оскільки національні суди не змогли забезпечити ефективний засіб правового захисту у разі порушення захисту, наданого ЄКПЛ. Суд не виявив жодного порушення статті 3. Він також відмовився аналізувати скарги про порушення права на свободу вираження поглядів за статтею 10 та заборони дискримінації за статтею 14 ЄКПЛ на тій підставі, що скарга про порушення права Повага до приватного та сімейного життя за статтею 8 була, по-перше, схожою на скаргу щодо дискримінації, а по-друге, вона була важливішою для справи, ніж скарга на порушення свободи вираження поглядів.</w:t>
      </w:r>
    </w:p>
    <w:p w14:paraId="5F4CE990" w14:textId="24A9207E" w:rsidR="007762B4" w:rsidRDefault="007762B4">
      <w:pPr>
        <w:pStyle w:val="p1"/>
        <w:rPr>
          <w:rFonts w:ascii="Times New Roman" w:hAnsi="Times New Roman"/>
          <w:sz w:val="28"/>
          <w:szCs w:val="28"/>
        </w:rPr>
      </w:pPr>
    </w:p>
    <w:p w14:paraId="71F21B2E" w14:textId="77777777" w:rsidR="00FC4370" w:rsidRDefault="007762B4">
      <w:pPr>
        <w:pStyle w:val="p1"/>
        <w:rPr>
          <w:rFonts w:ascii="Times New Roman" w:hAnsi="Times New Roman"/>
          <w:sz w:val="28"/>
          <w:szCs w:val="28"/>
        </w:rPr>
      </w:pPr>
      <w:r w:rsidRPr="007762B4">
        <w:rPr>
          <w:rFonts w:ascii="Times New Roman" w:hAnsi="Times New Roman"/>
          <w:sz w:val="28"/>
          <w:szCs w:val="28"/>
        </w:rPr>
        <w:t xml:space="preserve">У результаті цих рішень Міністерство оборони оголосило нову політику щодо сексуальної поведінки в британських збройних силах. У ньому було чітко зазначено, що уряд погоджується з рішенням Європейського суду та уважно вивчить наслідки цього рішення. Крім того, було оголошено, що ті справи, які </w:t>
      </w:r>
      <w:r w:rsidRPr="007762B4">
        <w:rPr>
          <w:rFonts w:ascii="Times New Roman" w:hAnsi="Times New Roman"/>
          <w:sz w:val="28"/>
          <w:szCs w:val="28"/>
        </w:rPr>
        <w:lastRenderedPageBreak/>
        <w:t>вже є в системі</w:t>
      </w:r>
      <w:r>
        <w:rPr>
          <w:rFonts w:ascii="Times New Roman" w:hAnsi="Times New Roman"/>
          <w:sz w:val="28"/>
          <w:szCs w:val="28"/>
          <w:lang w:val="en-US"/>
        </w:rPr>
        <w:t>,</w:t>
      </w:r>
      <w:r>
        <w:rPr>
          <w:rFonts w:ascii="Times New Roman" w:hAnsi="Times New Roman"/>
          <w:sz w:val="28"/>
          <w:szCs w:val="28"/>
        </w:rPr>
        <w:t xml:space="preserve"> </w:t>
      </w:r>
      <w:r w:rsidRPr="007762B4">
        <w:rPr>
          <w:rFonts w:ascii="Times New Roman" w:hAnsi="Times New Roman"/>
          <w:sz w:val="28"/>
          <w:szCs w:val="28"/>
        </w:rPr>
        <w:t>тобто, персонал, який знаходиться в процесі звільнення на підставі гомосексуалізму</w:t>
      </w:r>
      <w:r>
        <w:rPr>
          <w:rFonts w:ascii="Times New Roman" w:hAnsi="Times New Roman"/>
          <w:sz w:val="28"/>
          <w:szCs w:val="28"/>
        </w:rPr>
        <w:t xml:space="preserve">, </w:t>
      </w:r>
      <w:r w:rsidRPr="007762B4">
        <w:rPr>
          <w:rFonts w:ascii="Times New Roman" w:hAnsi="Times New Roman"/>
          <w:sz w:val="28"/>
          <w:szCs w:val="28"/>
        </w:rPr>
        <w:t xml:space="preserve">будуть призупинені. Було </w:t>
      </w:r>
      <w:r>
        <w:rPr>
          <w:rFonts w:ascii="Times New Roman" w:hAnsi="Times New Roman"/>
          <w:sz w:val="28"/>
          <w:szCs w:val="28"/>
        </w:rPr>
        <w:t xml:space="preserve">ініційовано </w:t>
      </w:r>
      <w:r w:rsidRPr="007762B4">
        <w:rPr>
          <w:rFonts w:ascii="Times New Roman" w:hAnsi="Times New Roman"/>
          <w:sz w:val="28"/>
          <w:szCs w:val="28"/>
        </w:rPr>
        <w:t xml:space="preserve">перевірку керівників служб, які очікували рішення, але були категорично проти пом’якшення заборони. Цей перегляд було завершено в січні 2000 року, коли </w:t>
      </w:r>
      <w:r>
        <w:rPr>
          <w:rFonts w:ascii="Times New Roman" w:hAnsi="Times New Roman"/>
          <w:sz w:val="28"/>
          <w:szCs w:val="28"/>
        </w:rPr>
        <w:t xml:space="preserve">тодішній </w:t>
      </w:r>
      <w:r w:rsidRPr="007762B4">
        <w:rPr>
          <w:rFonts w:ascii="Times New Roman" w:hAnsi="Times New Roman"/>
          <w:sz w:val="28"/>
          <w:szCs w:val="28"/>
        </w:rPr>
        <w:t xml:space="preserve">міністр оборони оголосив у своїй парламентській промові: </w:t>
      </w:r>
      <w:r w:rsidRPr="00FC4370">
        <w:rPr>
          <w:rFonts w:ascii="Times New Roman" w:hAnsi="Times New Roman"/>
          <w:i/>
          <w:iCs/>
          <w:sz w:val="28"/>
          <w:szCs w:val="28"/>
        </w:rPr>
        <w:t>«Начальники штабів погоджуються з необхідністю змінити існуючу політику і були повністю залучені до процесу розробки переглянутої політики».</w:t>
      </w:r>
      <w:r w:rsidRPr="007762B4">
        <w:rPr>
          <w:rFonts w:ascii="Times New Roman" w:hAnsi="Times New Roman"/>
          <w:sz w:val="28"/>
          <w:szCs w:val="28"/>
        </w:rPr>
        <w:t xml:space="preserve"> </w:t>
      </w:r>
    </w:p>
    <w:p w14:paraId="3B1D79A9" w14:textId="77777777" w:rsidR="00FC4370" w:rsidRDefault="00FC4370">
      <w:pPr>
        <w:pStyle w:val="p1"/>
        <w:rPr>
          <w:rFonts w:ascii="Times New Roman" w:hAnsi="Times New Roman"/>
          <w:sz w:val="28"/>
          <w:szCs w:val="28"/>
        </w:rPr>
      </w:pPr>
    </w:p>
    <w:p w14:paraId="075039D3" w14:textId="7009981D" w:rsidR="007762B4" w:rsidRPr="001C209F" w:rsidRDefault="007762B4">
      <w:pPr>
        <w:pStyle w:val="p1"/>
        <w:rPr>
          <w:rFonts w:ascii="Times New Roman" w:hAnsi="Times New Roman"/>
          <w:sz w:val="28"/>
          <w:szCs w:val="28"/>
        </w:rPr>
      </w:pPr>
      <w:r>
        <w:rPr>
          <w:rFonts w:ascii="Times New Roman" w:hAnsi="Times New Roman"/>
          <w:sz w:val="28"/>
          <w:szCs w:val="28"/>
        </w:rPr>
        <w:t xml:space="preserve">Начальники </w:t>
      </w:r>
      <w:r w:rsidRPr="007762B4">
        <w:rPr>
          <w:rFonts w:ascii="Times New Roman" w:hAnsi="Times New Roman"/>
          <w:sz w:val="28"/>
          <w:szCs w:val="28"/>
        </w:rPr>
        <w:t xml:space="preserve">штабів підтримали результати перегляду. Крім того, департамент вивчив досвід інших країн, таких як Австралія. Насамкінець департамент взяв до уваги </w:t>
      </w:r>
      <w:r>
        <w:rPr>
          <w:rFonts w:ascii="Times New Roman" w:hAnsi="Times New Roman"/>
          <w:sz w:val="28"/>
          <w:szCs w:val="28"/>
        </w:rPr>
        <w:t xml:space="preserve">рішення </w:t>
      </w:r>
      <w:r w:rsidRPr="007762B4">
        <w:rPr>
          <w:rFonts w:ascii="Times New Roman" w:hAnsi="Times New Roman"/>
          <w:sz w:val="28"/>
          <w:szCs w:val="28"/>
        </w:rPr>
        <w:t>Європейськ</w:t>
      </w:r>
      <w:r>
        <w:rPr>
          <w:rFonts w:ascii="Times New Roman" w:hAnsi="Times New Roman"/>
          <w:sz w:val="28"/>
          <w:szCs w:val="28"/>
        </w:rPr>
        <w:t>ого</w:t>
      </w:r>
      <w:r w:rsidRPr="007762B4">
        <w:rPr>
          <w:rFonts w:ascii="Times New Roman" w:hAnsi="Times New Roman"/>
          <w:sz w:val="28"/>
          <w:szCs w:val="28"/>
        </w:rPr>
        <w:t xml:space="preserve"> суд</w:t>
      </w:r>
      <w:r>
        <w:rPr>
          <w:rFonts w:ascii="Times New Roman" w:hAnsi="Times New Roman"/>
          <w:sz w:val="28"/>
          <w:szCs w:val="28"/>
        </w:rPr>
        <w:t>у</w:t>
      </w:r>
      <w:r w:rsidRPr="007762B4">
        <w:rPr>
          <w:rFonts w:ascii="Times New Roman" w:hAnsi="Times New Roman"/>
          <w:sz w:val="28"/>
          <w:szCs w:val="28"/>
        </w:rPr>
        <w:t xml:space="preserve"> з прав людини</w:t>
      </w:r>
      <w:r>
        <w:rPr>
          <w:rFonts w:ascii="Times New Roman" w:hAnsi="Times New Roman"/>
          <w:sz w:val="28"/>
          <w:szCs w:val="28"/>
        </w:rPr>
        <w:t xml:space="preserve"> </w:t>
      </w:r>
      <w:r w:rsidRPr="007762B4">
        <w:rPr>
          <w:rFonts w:ascii="Times New Roman" w:hAnsi="Times New Roman"/>
          <w:sz w:val="28"/>
          <w:szCs w:val="28"/>
        </w:rPr>
        <w:t>та визнав, що Сполучене Королівство має сформулювати політику, яка б розглядала сексуальну орієнтацію як питання приватної сфери.</w:t>
      </w:r>
    </w:p>
    <w:p w14:paraId="7608B98D" w14:textId="47C3486A" w:rsidR="00141113" w:rsidRPr="001C209F" w:rsidRDefault="00141113">
      <w:pPr>
        <w:pStyle w:val="p1"/>
        <w:rPr>
          <w:rFonts w:ascii="Times New Roman" w:hAnsi="Times New Roman"/>
          <w:sz w:val="28"/>
          <w:szCs w:val="28"/>
        </w:rPr>
      </w:pPr>
    </w:p>
    <w:p w14:paraId="1B09B64F" w14:textId="5073ACC6" w:rsidR="008C3419" w:rsidRDefault="00141113">
      <w:pPr>
        <w:pStyle w:val="p1"/>
        <w:rPr>
          <w:rFonts w:ascii="Times New Roman" w:hAnsi="Times New Roman"/>
          <w:sz w:val="28"/>
          <w:szCs w:val="28"/>
        </w:rPr>
      </w:pPr>
      <w:r w:rsidRPr="001C209F">
        <w:rPr>
          <w:rFonts w:ascii="Times New Roman" w:hAnsi="Times New Roman"/>
          <w:sz w:val="28"/>
          <w:szCs w:val="28"/>
        </w:rPr>
        <w:t xml:space="preserve">Сміт і Грейді проти Великобританії </w:t>
      </w:r>
      <w:r w:rsidR="001523B9" w:rsidRPr="001C209F">
        <w:rPr>
          <w:rFonts w:ascii="Times New Roman" w:hAnsi="Times New Roman"/>
          <w:sz w:val="28"/>
          <w:szCs w:val="28"/>
        </w:rPr>
        <w:t>є</w:t>
      </w:r>
      <w:r w:rsidRPr="001C209F">
        <w:rPr>
          <w:rFonts w:ascii="Times New Roman" w:hAnsi="Times New Roman"/>
          <w:sz w:val="28"/>
          <w:szCs w:val="28"/>
        </w:rPr>
        <w:t xml:space="preserve"> визначним рішенням Європейського суду з прав людини, який одноголосно визнав, що розслідування та подальше звільнення </w:t>
      </w:r>
      <w:r w:rsidR="007C413A" w:rsidRPr="001C209F">
        <w:rPr>
          <w:rFonts w:ascii="Times New Roman" w:hAnsi="Times New Roman"/>
          <w:sz w:val="28"/>
          <w:szCs w:val="28"/>
        </w:rPr>
        <w:t>з</w:t>
      </w:r>
      <w:r w:rsidRPr="001C209F">
        <w:rPr>
          <w:rFonts w:ascii="Times New Roman" w:hAnsi="Times New Roman"/>
          <w:sz w:val="28"/>
          <w:szCs w:val="28"/>
        </w:rPr>
        <w:t xml:space="preserve"> Королівського флоту на підставі їхньої гомосексуальності було порушенням їхніх прав  на приватне життя відповідно до статті 8 Європейської конвенції з прав людини.  Рішення, яке в той час викликало широкі суперечки, </w:t>
      </w:r>
      <w:r w:rsidR="007762B4">
        <w:rPr>
          <w:rFonts w:ascii="Times New Roman" w:hAnsi="Times New Roman"/>
          <w:sz w:val="28"/>
          <w:szCs w:val="28"/>
        </w:rPr>
        <w:t xml:space="preserve">все таки </w:t>
      </w:r>
      <w:r w:rsidRPr="001C209F">
        <w:rPr>
          <w:rFonts w:ascii="Times New Roman" w:hAnsi="Times New Roman"/>
          <w:sz w:val="28"/>
          <w:szCs w:val="28"/>
        </w:rPr>
        <w:t xml:space="preserve">змусило Велику Британію прийняти переглянутий Кодекс соціальної поведінки </w:t>
      </w:r>
      <w:r w:rsidR="005C5B55">
        <w:rPr>
          <w:rFonts w:ascii="Times New Roman" w:hAnsi="Times New Roman"/>
          <w:sz w:val="28"/>
          <w:szCs w:val="28"/>
        </w:rPr>
        <w:t>З</w:t>
      </w:r>
      <w:r w:rsidRPr="001C209F">
        <w:rPr>
          <w:rFonts w:ascii="Times New Roman" w:hAnsi="Times New Roman"/>
          <w:sz w:val="28"/>
          <w:szCs w:val="28"/>
        </w:rPr>
        <w:t xml:space="preserve">бройних сил. </w:t>
      </w:r>
    </w:p>
    <w:p w14:paraId="2037E376" w14:textId="77777777" w:rsidR="001C209F" w:rsidRPr="001C209F" w:rsidRDefault="001C209F">
      <w:pPr>
        <w:pStyle w:val="p1"/>
        <w:rPr>
          <w:rFonts w:ascii="Times New Roman" w:hAnsi="Times New Roman"/>
          <w:sz w:val="28"/>
          <w:szCs w:val="28"/>
        </w:rPr>
      </w:pPr>
    </w:p>
    <w:p w14:paraId="29BDDD75" w14:textId="7AC6A738" w:rsidR="00141113" w:rsidRPr="001C209F" w:rsidRDefault="00141113">
      <w:pPr>
        <w:pStyle w:val="p1"/>
        <w:rPr>
          <w:rFonts w:ascii="Times New Roman" w:hAnsi="Times New Roman"/>
          <w:sz w:val="28"/>
          <w:szCs w:val="28"/>
        </w:rPr>
      </w:pPr>
      <w:r w:rsidRPr="001C209F">
        <w:rPr>
          <w:rFonts w:ascii="Times New Roman" w:hAnsi="Times New Roman"/>
          <w:sz w:val="28"/>
          <w:szCs w:val="28"/>
        </w:rPr>
        <w:t>У праві Великобританії це рішення є примітним, оскільки справа заявників раніше була відхилена як у Високому, так і в Апеляційному судах, які встановили, що дії влади не порушували принципів законності, включаючи необґрунтованість у Венсбері</w:t>
      </w:r>
      <w:r w:rsidR="00AE6B5F">
        <w:rPr>
          <w:rFonts w:ascii="Times New Roman" w:hAnsi="Times New Roman"/>
          <w:sz w:val="28"/>
          <w:szCs w:val="28"/>
        </w:rPr>
        <w:t xml:space="preserve"> (с</w:t>
      </w:r>
      <w:r w:rsidR="00AE6B5F" w:rsidRPr="00AE6B5F">
        <w:rPr>
          <w:rFonts w:ascii="Times New Roman" w:hAnsi="Times New Roman"/>
          <w:sz w:val="28"/>
          <w:szCs w:val="28"/>
        </w:rPr>
        <w:t>тандарт необґрунтованості, який використовується при оцінці заяви про судовий перегляд рішення державного органу</w:t>
      </w:r>
      <w:r w:rsidR="00AE6B5F">
        <w:rPr>
          <w:rFonts w:ascii="Times New Roman" w:hAnsi="Times New Roman"/>
          <w:sz w:val="28"/>
          <w:szCs w:val="28"/>
        </w:rPr>
        <w:t>)</w:t>
      </w:r>
      <w:r w:rsidRPr="001C209F">
        <w:rPr>
          <w:rFonts w:ascii="Times New Roman" w:hAnsi="Times New Roman"/>
          <w:sz w:val="28"/>
          <w:szCs w:val="28"/>
        </w:rPr>
        <w:t>, таким чином підкреслюючи  відмінність у підходах Європейського суду з прав людини та національних судів.</w:t>
      </w:r>
    </w:p>
    <w:p w14:paraId="616BDF67" w14:textId="1E70CF6E" w:rsidR="007A0BFC" w:rsidRPr="001C209F" w:rsidRDefault="007A0BFC">
      <w:pPr>
        <w:rPr>
          <w:rFonts w:ascii="Times New Roman" w:hAnsi="Times New Roman" w:cs="Times New Roman"/>
          <w:sz w:val="28"/>
          <w:szCs w:val="28"/>
        </w:rPr>
      </w:pPr>
    </w:p>
    <w:p w14:paraId="68D265E2" w14:textId="77777777" w:rsidR="00B04EE6" w:rsidRPr="001C209F" w:rsidRDefault="00B04EE6">
      <w:pPr>
        <w:rPr>
          <w:rFonts w:ascii="Times New Roman" w:hAnsi="Times New Roman" w:cs="Times New Roman"/>
          <w:sz w:val="28"/>
          <w:szCs w:val="28"/>
        </w:rPr>
      </w:pPr>
    </w:p>
    <w:sectPr w:rsidR="00B04EE6" w:rsidRPr="001C20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pleSystemUIFont">
    <w:altName w:val="Arial"/>
    <w:panose1 w:val="00000000000000000000"/>
    <w:charset w:val="00"/>
    <w:family w:val="roman"/>
    <w:notTrueType/>
    <w:pitch w:val="default"/>
  </w:font>
  <w:font w:name="UICTFontTextStyleBody">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FC"/>
    <w:rsid w:val="000307A0"/>
    <w:rsid w:val="00141113"/>
    <w:rsid w:val="001523B9"/>
    <w:rsid w:val="00175EB9"/>
    <w:rsid w:val="001C209F"/>
    <w:rsid w:val="002079F2"/>
    <w:rsid w:val="002F0CAC"/>
    <w:rsid w:val="003A1AFB"/>
    <w:rsid w:val="00414DF9"/>
    <w:rsid w:val="0041704D"/>
    <w:rsid w:val="004655D5"/>
    <w:rsid w:val="004E45B1"/>
    <w:rsid w:val="005534A9"/>
    <w:rsid w:val="005C5B55"/>
    <w:rsid w:val="00625635"/>
    <w:rsid w:val="006351A9"/>
    <w:rsid w:val="007762B4"/>
    <w:rsid w:val="007A0BFC"/>
    <w:rsid w:val="007C413A"/>
    <w:rsid w:val="00825A41"/>
    <w:rsid w:val="008542EF"/>
    <w:rsid w:val="008C3419"/>
    <w:rsid w:val="009037EE"/>
    <w:rsid w:val="00AE6B5F"/>
    <w:rsid w:val="00B04EE6"/>
    <w:rsid w:val="00C75D63"/>
    <w:rsid w:val="00CF21E9"/>
    <w:rsid w:val="00DF1C43"/>
    <w:rsid w:val="00FC43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42200"/>
  <w15:chartTrackingRefBased/>
  <w15:docId w15:val="{AB4AD7AA-2838-E745-8465-CAFCA768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7A0BFC"/>
    <w:rPr>
      <w:rFonts w:ascii=".AppleSystemUIFont" w:hAnsi=".AppleSystemUIFont" w:cs="Times New Roman"/>
      <w:sz w:val="26"/>
      <w:szCs w:val="26"/>
    </w:rPr>
  </w:style>
  <w:style w:type="character" w:customStyle="1" w:styleId="s1">
    <w:name w:val="s1"/>
    <w:basedOn w:val="a0"/>
    <w:rsid w:val="007A0BFC"/>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7A0BFC"/>
  </w:style>
  <w:style w:type="table" w:styleId="a3">
    <w:name w:val="Table Grid"/>
    <w:basedOn w:val="a1"/>
    <w:uiPriority w:val="39"/>
    <w:rsid w:val="00C75D6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141175">
      <w:bodyDiv w:val="1"/>
      <w:marLeft w:val="0"/>
      <w:marRight w:val="0"/>
      <w:marTop w:val="0"/>
      <w:marBottom w:val="0"/>
      <w:divBdr>
        <w:top w:val="none" w:sz="0" w:space="0" w:color="auto"/>
        <w:left w:val="none" w:sz="0" w:space="0" w:color="auto"/>
        <w:bottom w:val="none" w:sz="0" w:space="0" w:color="auto"/>
        <w:right w:val="none" w:sz="0" w:space="0" w:color="auto"/>
      </w:divBdr>
    </w:div>
    <w:div w:id="1787844557">
      <w:bodyDiv w:val="1"/>
      <w:marLeft w:val="0"/>
      <w:marRight w:val="0"/>
      <w:marTop w:val="0"/>
      <w:marBottom w:val="0"/>
      <w:divBdr>
        <w:top w:val="none" w:sz="0" w:space="0" w:color="auto"/>
        <w:left w:val="none" w:sz="0" w:space="0" w:color="auto"/>
        <w:bottom w:val="none" w:sz="0" w:space="0" w:color="auto"/>
        <w:right w:val="none" w:sz="0" w:space="0" w:color="auto"/>
      </w:divBdr>
    </w:div>
    <w:div w:id="185206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2729</Words>
  <Characters>1556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 Sasanchin</dc:creator>
  <cp:keywords/>
  <dc:description/>
  <cp:lastModifiedBy>Olga Poiedynok</cp:lastModifiedBy>
  <cp:revision>3</cp:revision>
  <dcterms:created xsi:type="dcterms:W3CDTF">2023-02-26T11:42:00Z</dcterms:created>
  <dcterms:modified xsi:type="dcterms:W3CDTF">2023-02-26T12:17:00Z</dcterms:modified>
</cp:coreProperties>
</file>