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088"/>
      </w:tblGrid>
      <w:tr w:rsidR="002344E1" w14:paraId="4A992638" w14:textId="77777777" w:rsidTr="002344E1">
        <w:tc>
          <w:tcPr>
            <w:tcW w:w="3823" w:type="dxa"/>
          </w:tcPr>
          <w:p w14:paraId="6B8E1061" w14:textId="77777777" w:rsidR="002344E1" w:rsidRDefault="002344E1" w:rsidP="00915E4D">
            <w:pPr>
              <w:spacing w:before="120" w:after="120" w:line="276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088" w:type="dxa"/>
          </w:tcPr>
          <w:p w14:paraId="154E4592" w14:textId="77777777" w:rsidR="002344E1" w:rsidRPr="002344E1" w:rsidRDefault="002344E1" w:rsidP="002344E1">
            <w:pPr>
              <w:spacing w:after="0" w:line="276" w:lineRule="auto"/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344E1">
              <w:rPr>
                <w:b/>
                <w:bCs/>
                <w:i/>
                <w:iCs/>
                <w:sz w:val="24"/>
                <w:szCs w:val="24"/>
              </w:rPr>
              <w:t>Сандул</w:t>
            </w:r>
            <w:proofErr w:type="spellEnd"/>
            <w:r w:rsidRPr="002344E1">
              <w:rPr>
                <w:b/>
                <w:bCs/>
                <w:i/>
                <w:iCs/>
                <w:sz w:val="24"/>
                <w:szCs w:val="24"/>
              </w:rPr>
              <w:t xml:space="preserve"> Олександра Максимівна</w:t>
            </w:r>
          </w:p>
          <w:p w14:paraId="76CF9FAB" w14:textId="09D9BEFC" w:rsidR="002344E1" w:rsidRDefault="002344E1" w:rsidP="002344E1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2344E1">
              <w:rPr>
                <w:sz w:val="24"/>
                <w:szCs w:val="24"/>
              </w:rPr>
              <w:t>Навчально-науковий інститут міжнародних відносин Київського національного університету ім. Т. Шевченка</w:t>
            </w:r>
            <w:r>
              <w:rPr>
                <w:sz w:val="24"/>
                <w:szCs w:val="24"/>
              </w:rPr>
              <w:t>,</w:t>
            </w:r>
          </w:p>
          <w:p w14:paraId="44173D58" w14:textId="019B83BC" w:rsidR="002344E1" w:rsidRDefault="002344E1" w:rsidP="002344E1">
            <w:pPr>
              <w:spacing w:line="276" w:lineRule="auto"/>
              <w:jc w:val="left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магістерська </w:t>
            </w:r>
            <w:proofErr w:type="spellStart"/>
            <w:r>
              <w:rPr>
                <w:sz w:val="24"/>
                <w:szCs w:val="24"/>
              </w:rPr>
              <w:t>освітньо</w:t>
            </w:r>
            <w:proofErr w:type="spellEnd"/>
            <w:r>
              <w:rPr>
                <w:sz w:val="24"/>
                <w:szCs w:val="24"/>
              </w:rPr>
              <w:t xml:space="preserve">-наукова програма «Міжнародне право», </w:t>
            </w:r>
            <w:r w:rsidRPr="002344E1">
              <w:rPr>
                <w:sz w:val="24"/>
                <w:szCs w:val="24"/>
              </w:rPr>
              <w:t>спеціалізація «Міжнародний захист прав людини»</w:t>
            </w:r>
            <w:r>
              <w:rPr>
                <w:sz w:val="24"/>
                <w:szCs w:val="24"/>
              </w:rPr>
              <w:t>, ІІ рік навчання</w:t>
            </w:r>
            <w:r w:rsidR="00992577">
              <w:rPr>
                <w:sz w:val="24"/>
                <w:szCs w:val="24"/>
              </w:rPr>
              <w:t>, група 1</w:t>
            </w:r>
          </w:p>
        </w:tc>
      </w:tr>
    </w:tbl>
    <w:p w14:paraId="6B6B7302" w14:textId="77777777" w:rsidR="002344E1" w:rsidRDefault="002344E1" w:rsidP="00915E4D">
      <w:pPr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</w:p>
    <w:p w14:paraId="10F6F98B" w14:textId="2B6C0E40" w:rsidR="00915E4D" w:rsidRDefault="003E36AF" w:rsidP="00915E4D">
      <w:pPr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  <w:r w:rsidRPr="005128F4">
        <w:rPr>
          <w:b/>
          <w:bCs/>
          <w:sz w:val="24"/>
          <w:szCs w:val="24"/>
          <w:u w:val="single"/>
        </w:rPr>
        <w:t>Опис рішення ЄСПЛ</w:t>
      </w:r>
      <w:r w:rsidR="002B6E42" w:rsidRPr="005128F4">
        <w:rPr>
          <w:b/>
          <w:bCs/>
          <w:sz w:val="24"/>
          <w:szCs w:val="24"/>
          <w:u w:val="single"/>
        </w:rPr>
        <w:t xml:space="preserve"> «</w:t>
      </w:r>
      <w:proofErr w:type="spellStart"/>
      <w:r w:rsidR="00FF7AD4" w:rsidRPr="005128F4">
        <w:rPr>
          <w:b/>
          <w:bCs/>
          <w:sz w:val="24"/>
          <w:szCs w:val="24"/>
          <w:u w:val="single"/>
        </w:rPr>
        <w:t>Олару</w:t>
      </w:r>
      <w:proofErr w:type="spellEnd"/>
      <w:r w:rsidR="00FF7AD4" w:rsidRPr="005128F4">
        <w:rPr>
          <w:b/>
          <w:bCs/>
          <w:sz w:val="24"/>
          <w:szCs w:val="24"/>
          <w:u w:val="single"/>
        </w:rPr>
        <w:t xml:space="preserve"> та інші</w:t>
      </w:r>
      <w:r w:rsidR="002F1CD4" w:rsidRPr="005128F4">
        <w:rPr>
          <w:b/>
          <w:bCs/>
          <w:sz w:val="24"/>
          <w:szCs w:val="24"/>
          <w:u w:val="single"/>
        </w:rPr>
        <w:t xml:space="preserve"> проти </w:t>
      </w:r>
      <w:r w:rsidR="00FF7AD4" w:rsidRPr="005128F4">
        <w:rPr>
          <w:b/>
          <w:bCs/>
          <w:sz w:val="24"/>
          <w:szCs w:val="24"/>
          <w:u w:val="single"/>
        </w:rPr>
        <w:t>Молдови</w:t>
      </w:r>
      <w:r w:rsidR="002F1CD4" w:rsidRPr="005128F4">
        <w:rPr>
          <w:b/>
          <w:bCs/>
          <w:sz w:val="24"/>
          <w:szCs w:val="24"/>
          <w:u w:val="single"/>
        </w:rPr>
        <w:t>»</w:t>
      </w:r>
    </w:p>
    <w:p w14:paraId="2C7CC108" w14:textId="77777777" w:rsidR="00915E4D" w:rsidRPr="00915E4D" w:rsidRDefault="00915E4D" w:rsidP="00915E4D">
      <w:pPr>
        <w:spacing w:after="0" w:line="276" w:lineRule="auto"/>
        <w:ind w:firstLine="567"/>
        <w:rPr>
          <w:sz w:val="24"/>
          <w:szCs w:val="24"/>
        </w:rPr>
      </w:pPr>
    </w:p>
    <w:p w14:paraId="46531373" w14:textId="77777777" w:rsidR="00A75667" w:rsidRPr="005128F4" w:rsidRDefault="00F033DA" w:rsidP="008D006E">
      <w:pPr>
        <w:spacing w:after="0" w:line="276" w:lineRule="auto"/>
        <w:ind w:firstLine="567"/>
        <w:rPr>
          <w:sz w:val="24"/>
          <w:szCs w:val="24"/>
        </w:rPr>
      </w:pPr>
      <w:r w:rsidRPr="005128F4">
        <w:rPr>
          <w:b/>
          <w:bCs/>
          <w:sz w:val="24"/>
          <w:szCs w:val="24"/>
        </w:rPr>
        <w:t>Обставини справи</w:t>
      </w:r>
    </w:p>
    <w:p w14:paraId="1534CC9D" w14:textId="50EE7199" w:rsidR="007133C3" w:rsidRPr="005128F4" w:rsidRDefault="007133C3" w:rsidP="007133C3">
      <w:pPr>
        <w:spacing w:after="0"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 час подання заяв законодавство Молдови гарантувало соціальне житло багатьом категорія громадян (державним службовцям, суддям, поліцейським, внутрішньо переміщеним особам тощо) за рахунок місцевих бюджетів, однак </w:t>
      </w:r>
      <w:r w:rsidR="00194136">
        <w:rPr>
          <w:sz w:val="24"/>
          <w:szCs w:val="24"/>
        </w:rPr>
        <w:t>часто</w:t>
      </w:r>
      <w:r>
        <w:rPr>
          <w:sz w:val="24"/>
          <w:szCs w:val="24"/>
        </w:rPr>
        <w:t xml:space="preserve"> таке житло не надавалось</w:t>
      </w:r>
      <w:r w:rsidR="00194136" w:rsidRPr="00194136">
        <w:rPr>
          <w:sz w:val="24"/>
          <w:szCs w:val="24"/>
        </w:rPr>
        <w:t xml:space="preserve"> </w:t>
      </w:r>
      <w:r w:rsidR="00194136">
        <w:rPr>
          <w:sz w:val="24"/>
          <w:szCs w:val="24"/>
        </w:rPr>
        <w:t>з огляду на нестачу коштів</w:t>
      </w:r>
      <w:r>
        <w:rPr>
          <w:sz w:val="24"/>
          <w:szCs w:val="24"/>
        </w:rPr>
        <w:t xml:space="preserve">. </w:t>
      </w:r>
      <w:r w:rsidR="00FF7AD4" w:rsidRPr="005128F4">
        <w:rPr>
          <w:sz w:val="24"/>
          <w:szCs w:val="24"/>
        </w:rPr>
        <w:t xml:space="preserve">Пілотна справа </w:t>
      </w:r>
      <w:r w:rsidRPr="007133C3">
        <w:rPr>
          <w:sz w:val="24"/>
          <w:szCs w:val="24"/>
        </w:rPr>
        <w:t>«</w:t>
      </w:r>
      <w:proofErr w:type="spellStart"/>
      <w:r w:rsidRPr="007133C3">
        <w:rPr>
          <w:sz w:val="24"/>
          <w:szCs w:val="24"/>
        </w:rPr>
        <w:t>Олару</w:t>
      </w:r>
      <w:proofErr w:type="spellEnd"/>
      <w:r w:rsidRPr="007133C3">
        <w:rPr>
          <w:sz w:val="24"/>
          <w:szCs w:val="24"/>
        </w:rPr>
        <w:t xml:space="preserve"> та інші проти Молдови»</w:t>
      </w:r>
      <w:r>
        <w:rPr>
          <w:sz w:val="24"/>
          <w:szCs w:val="24"/>
        </w:rPr>
        <w:t xml:space="preserve"> </w:t>
      </w:r>
      <w:r w:rsidR="00FF7AD4" w:rsidRPr="005128F4">
        <w:rPr>
          <w:sz w:val="24"/>
          <w:szCs w:val="24"/>
        </w:rPr>
        <w:t>об’єднала чотири заяви</w:t>
      </w:r>
      <w:r w:rsidR="003D5DC1" w:rsidRPr="005128F4">
        <w:rPr>
          <w:sz w:val="24"/>
          <w:szCs w:val="24"/>
        </w:rPr>
        <w:t>, що стосували</w:t>
      </w:r>
      <w:r w:rsidR="00770490" w:rsidRPr="005128F4">
        <w:rPr>
          <w:sz w:val="24"/>
          <w:szCs w:val="24"/>
        </w:rPr>
        <w:t>сь</w:t>
      </w:r>
      <w:r>
        <w:rPr>
          <w:sz w:val="24"/>
          <w:szCs w:val="24"/>
        </w:rPr>
        <w:t xml:space="preserve"> </w:t>
      </w:r>
      <w:r w:rsidRPr="007133C3">
        <w:rPr>
          <w:sz w:val="24"/>
          <w:szCs w:val="24"/>
        </w:rPr>
        <w:t xml:space="preserve">невиконання рішень </w:t>
      </w:r>
      <w:r>
        <w:rPr>
          <w:sz w:val="24"/>
          <w:szCs w:val="24"/>
        </w:rPr>
        <w:t xml:space="preserve">національних </w:t>
      </w:r>
      <w:r w:rsidRPr="007133C3">
        <w:rPr>
          <w:sz w:val="24"/>
          <w:szCs w:val="24"/>
        </w:rPr>
        <w:t xml:space="preserve">судів, що зобов’язували місцеві органи влади надати заявникам </w:t>
      </w:r>
      <w:r>
        <w:rPr>
          <w:sz w:val="24"/>
          <w:szCs w:val="24"/>
        </w:rPr>
        <w:t xml:space="preserve">гарантоване їм законом </w:t>
      </w:r>
      <w:r w:rsidRPr="007133C3">
        <w:rPr>
          <w:sz w:val="24"/>
          <w:szCs w:val="24"/>
        </w:rPr>
        <w:t>соціальне житло</w:t>
      </w:r>
      <w:r>
        <w:rPr>
          <w:sz w:val="24"/>
          <w:szCs w:val="24"/>
        </w:rPr>
        <w:t>. Заявники посилались на</w:t>
      </w:r>
      <w:r w:rsidR="00770490" w:rsidRPr="005128F4">
        <w:rPr>
          <w:sz w:val="24"/>
          <w:szCs w:val="24"/>
        </w:rPr>
        <w:t xml:space="preserve"> порушення ст. 6(1) </w:t>
      </w:r>
      <w:r w:rsidR="000C20AB" w:rsidRPr="005128F4">
        <w:rPr>
          <w:sz w:val="24"/>
          <w:szCs w:val="24"/>
        </w:rPr>
        <w:t>Конвенції про захист прав людини і основоположних свобод (</w:t>
      </w:r>
      <w:r w:rsidR="000C20AB" w:rsidRPr="005128F4">
        <w:rPr>
          <w:b/>
          <w:bCs/>
          <w:sz w:val="24"/>
          <w:szCs w:val="24"/>
        </w:rPr>
        <w:t>«Конвенція»</w:t>
      </w:r>
      <w:r w:rsidR="000C20AB" w:rsidRPr="005128F4">
        <w:rPr>
          <w:sz w:val="24"/>
          <w:szCs w:val="24"/>
        </w:rPr>
        <w:t>) та ст. 1 Протоколу № 1 до Конвенції</w:t>
      </w:r>
      <w:r>
        <w:rPr>
          <w:sz w:val="24"/>
          <w:szCs w:val="24"/>
        </w:rPr>
        <w:t xml:space="preserve">. </w:t>
      </w:r>
    </w:p>
    <w:p w14:paraId="01339D59" w14:textId="77777777" w:rsidR="00A75667" w:rsidRPr="005128F4" w:rsidRDefault="00A75667" w:rsidP="008D006E">
      <w:pPr>
        <w:spacing w:after="0" w:line="276" w:lineRule="auto"/>
        <w:ind w:firstLine="567"/>
        <w:rPr>
          <w:sz w:val="24"/>
          <w:szCs w:val="24"/>
        </w:rPr>
      </w:pPr>
    </w:p>
    <w:p w14:paraId="7DB1A009" w14:textId="643E72A5" w:rsidR="00A75667" w:rsidRPr="005128F4" w:rsidRDefault="00250687" w:rsidP="008D006E">
      <w:pPr>
        <w:spacing w:after="0" w:line="276" w:lineRule="auto"/>
        <w:ind w:firstLine="567"/>
        <w:rPr>
          <w:b/>
          <w:bCs/>
          <w:sz w:val="24"/>
          <w:szCs w:val="24"/>
        </w:rPr>
      </w:pPr>
      <w:r w:rsidRPr="005128F4">
        <w:rPr>
          <w:b/>
          <w:bCs/>
          <w:sz w:val="24"/>
          <w:szCs w:val="24"/>
        </w:rPr>
        <w:t xml:space="preserve">Позиція </w:t>
      </w:r>
      <w:r w:rsidR="00633308" w:rsidRPr="005128F4">
        <w:rPr>
          <w:b/>
          <w:bCs/>
          <w:sz w:val="24"/>
          <w:szCs w:val="24"/>
        </w:rPr>
        <w:t>Європейського суду з прав людини («ЄСПЛ»).</w:t>
      </w:r>
    </w:p>
    <w:p w14:paraId="4AC11A8C" w14:textId="50D3A2CC" w:rsidR="00250687" w:rsidRPr="005128F4" w:rsidRDefault="00E26515" w:rsidP="008D006E">
      <w:pPr>
        <w:spacing w:after="0" w:line="276" w:lineRule="auto"/>
        <w:ind w:firstLine="567"/>
        <w:rPr>
          <w:sz w:val="24"/>
          <w:szCs w:val="24"/>
        </w:rPr>
      </w:pPr>
      <w:r w:rsidRPr="005128F4">
        <w:rPr>
          <w:sz w:val="24"/>
          <w:szCs w:val="24"/>
        </w:rPr>
        <w:t xml:space="preserve">По-перше, </w:t>
      </w:r>
      <w:r w:rsidR="00544A37" w:rsidRPr="005128F4">
        <w:rPr>
          <w:sz w:val="24"/>
          <w:szCs w:val="24"/>
        </w:rPr>
        <w:t xml:space="preserve">ЄСПЛ </w:t>
      </w:r>
      <w:r w:rsidR="007133C3">
        <w:rPr>
          <w:sz w:val="24"/>
          <w:szCs w:val="24"/>
        </w:rPr>
        <w:t xml:space="preserve">підтвердив наявність </w:t>
      </w:r>
      <w:r w:rsidR="007133C3" w:rsidRPr="005128F4">
        <w:rPr>
          <w:sz w:val="24"/>
          <w:szCs w:val="24"/>
        </w:rPr>
        <w:t>порушення ст. 6(1) Конвенції та ст. 1 Протоколу № 1 до Конвенції.</w:t>
      </w:r>
      <w:r w:rsidR="007133C3">
        <w:rPr>
          <w:sz w:val="24"/>
          <w:szCs w:val="24"/>
        </w:rPr>
        <w:t xml:space="preserve"> Станом на дату розгляду справи ЄСПЛ уже визнавав наявність порушення зазначених статей у ряді справ</w:t>
      </w:r>
      <w:r w:rsidR="007133C3">
        <w:rPr>
          <w:rStyle w:val="a5"/>
          <w:sz w:val="24"/>
          <w:szCs w:val="24"/>
        </w:rPr>
        <w:footnoteReference w:id="1"/>
      </w:r>
      <w:r w:rsidR="007133C3">
        <w:rPr>
          <w:sz w:val="24"/>
          <w:szCs w:val="24"/>
        </w:rPr>
        <w:t xml:space="preserve">. </w:t>
      </w:r>
      <w:r w:rsidR="00F2372E">
        <w:rPr>
          <w:sz w:val="24"/>
          <w:szCs w:val="24"/>
        </w:rPr>
        <w:t>Розглядаючи цю пілотну справу, ЄСПЛ звернув увагу</w:t>
      </w:r>
      <w:r w:rsidR="00544A37" w:rsidRPr="005128F4">
        <w:rPr>
          <w:sz w:val="24"/>
          <w:szCs w:val="24"/>
        </w:rPr>
        <w:t>, що рішення</w:t>
      </w:r>
      <w:r w:rsidR="00F2372E">
        <w:rPr>
          <w:sz w:val="24"/>
          <w:szCs w:val="24"/>
        </w:rPr>
        <w:t xml:space="preserve"> національних судів</w:t>
      </w:r>
      <w:r w:rsidR="00544A37" w:rsidRPr="005128F4">
        <w:rPr>
          <w:sz w:val="24"/>
          <w:szCs w:val="24"/>
        </w:rPr>
        <w:t xml:space="preserve"> на користь заявників залишалися невиконаними протягом періодів від трьох до одинадцяти років. </w:t>
      </w:r>
      <w:r w:rsidR="00F2372E">
        <w:rPr>
          <w:sz w:val="24"/>
          <w:szCs w:val="24"/>
        </w:rPr>
        <w:t xml:space="preserve">При цьому, </w:t>
      </w:r>
      <w:r w:rsidR="00852107">
        <w:rPr>
          <w:sz w:val="24"/>
          <w:szCs w:val="24"/>
        </w:rPr>
        <w:t>Уряд Молдови зазначив, що</w:t>
      </w:r>
      <w:r w:rsidR="00F2372E">
        <w:rPr>
          <w:sz w:val="24"/>
          <w:szCs w:val="24"/>
        </w:rPr>
        <w:t xml:space="preserve"> подібні</w:t>
      </w:r>
      <w:r w:rsidR="00852107">
        <w:rPr>
          <w:sz w:val="24"/>
          <w:szCs w:val="24"/>
        </w:rPr>
        <w:t xml:space="preserve"> рішення національних судів не можуть бути виконаними з огляду на значну кількість справ та нестачу </w:t>
      </w:r>
      <w:r w:rsidR="00E41F22">
        <w:rPr>
          <w:sz w:val="24"/>
          <w:szCs w:val="24"/>
        </w:rPr>
        <w:t xml:space="preserve">коштів у бюджетах місцевих публічних </w:t>
      </w:r>
      <w:r w:rsidR="00481BA1">
        <w:rPr>
          <w:sz w:val="24"/>
          <w:szCs w:val="24"/>
        </w:rPr>
        <w:t>адміністрацій</w:t>
      </w:r>
      <w:r w:rsidR="00E41F22">
        <w:rPr>
          <w:sz w:val="24"/>
          <w:szCs w:val="24"/>
        </w:rPr>
        <w:t xml:space="preserve">. </w:t>
      </w:r>
      <w:r w:rsidR="00F2372E">
        <w:rPr>
          <w:sz w:val="24"/>
          <w:szCs w:val="24"/>
        </w:rPr>
        <w:t>Відповідно</w:t>
      </w:r>
      <w:r w:rsidR="00E41F22">
        <w:rPr>
          <w:sz w:val="24"/>
          <w:szCs w:val="24"/>
        </w:rPr>
        <w:t xml:space="preserve">, Уряд Молдови визнав, що в ЄСПЛ немає підстав відходити від </w:t>
      </w:r>
      <w:r w:rsidR="00F2372E">
        <w:rPr>
          <w:sz w:val="24"/>
          <w:szCs w:val="24"/>
        </w:rPr>
        <w:t>своєї</w:t>
      </w:r>
      <w:r w:rsidR="00E41F22">
        <w:rPr>
          <w:sz w:val="24"/>
          <w:szCs w:val="24"/>
        </w:rPr>
        <w:t xml:space="preserve"> попередньої практики</w:t>
      </w:r>
      <w:r w:rsidR="00F2372E">
        <w:rPr>
          <w:sz w:val="24"/>
          <w:szCs w:val="24"/>
        </w:rPr>
        <w:t>.</w:t>
      </w:r>
    </w:p>
    <w:p w14:paraId="79A01E44" w14:textId="002E51A2" w:rsidR="00B138D7" w:rsidRDefault="00544A37" w:rsidP="008D006E">
      <w:pPr>
        <w:spacing w:after="0" w:line="276" w:lineRule="auto"/>
        <w:ind w:firstLine="567"/>
        <w:rPr>
          <w:sz w:val="24"/>
          <w:szCs w:val="24"/>
        </w:rPr>
      </w:pPr>
      <w:r w:rsidRPr="005128F4">
        <w:rPr>
          <w:sz w:val="24"/>
          <w:szCs w:val="24"/>
        </w:rPr>
        <w:t xml:space="preserve">По-друге, </w:t>
      </w:r>
      <w:r w:rsidR="006D7FA8" w:rsidRPr="005128F4">
        <w:rPr>
          <w:sz w:val="24"/>
          <w:szCs w:val="24"/>
        </w:rPr>
        <w:t>ЄСПЛ зазначив, що невиконан</w:t>
      </w:r>
      <w:r w:rsidR="00F2372E">
        <w:rPr>
          <w:sz w:val="24"/>
          <w:szCs w:val="24"/>
        </w:rPr>
        <w:t>ня</w:t>
      </w:r>
      <w:r w:rsidR="006D7FA8" w:rsidRPr="005128F4">
        <w:rPr>
          <w:sz w:val="24"/>
          <w:szCs w:val="24"/>
        </w:rPr>
        <w:t xml:space="preserve"> судов</w:t>
      </w:r>
      <w:r w:rsidR="00F2372E">
        <w:rPr>
          <w:sz w:val="24"/>
          <w:szCs w:val="24"/>
        </w:rPr>
        <w:t>их</w:t>
      </w:r>
      <w:r w:rsidR="006D7FA8" w:rsidRPr="005128F4">
        <w:rPr>
          <w:sz w:val="24"/>
          <w:szCs w:val="24"/>
        </w:rPr>
        <w:t xml:space="preserve"> рішен</w:t>
      </w:r>
      <w:r w:rsidR="00F2372E">
        <w:rPr>
          <w:sz w:val="24"/>
          <w:szCs w:val="24"/>
        </w:rPr>
        <w:t>ь</w:t>
      </w:r>
      <w:r w:rsidR="00DE6A67">
        <w:rPr>
          <w:sz w:val="24"/>
          <w:szCs w:val="24"/>
        </w:rPr>
        <w:t xml:space="preserve"> щодо надання соціального житла</w:t>
      </w:r>
      <w:r w:rsidR="00F2372E">
        <w:rPr>
          <w:sz w:val="24"/>
          <w:szCs w:val="24"/>
        </w:rPr>
        <w:t xml:space="preserve"> </w:t>
      </w:r>
      <w:r w:rsidR="00C76FAA">
        <w:rPr>
          <w:sz w:val="24"/>
          <w:szCs w:val="24"/>
        </w:rPr>
        <w:t xml:space="preserve">становлять системні порушення. </w:t>
      </w:r>
      <w:r w:rsidR="00DE6A67">
        <w:rPr>
          <w:sz w:val="24"/>
          <w:szCs w:val="24"/>
        </w:rPr>
        <w:t>Аналізуючи відповідне питання, ЄСПЛ посилався на процедуру пілотних рішень. Ст</w:t>
      </w:r>
      <w:r w:rsidR="009E7F49">
        <w:rPr>
          <w:sz w:val="24"/>
          <w:szCs w:val="24"/>
        </w:rPr>
        <w:t>. 46 у світлі ст. 1 Конвенції покладає на державу-відповідача</w:t>
      </w:r>
      <w:r w:rsidR="00B138D7">
        <w:rPr>
          <w:sz w:val="24"/>
          <w:szCs w:val="24"/>
        </w:rPr>
        <w:t xml:space="preserve"> зобов’язання </w:t>
      </w:r>
      <w:proofErr w:type="spellStart"/>
      <w:r w:rsidR="00B138D7">
        <w:rPr>
          <w:sz w:val="24"/>
          <w:szCs w:val="24"/>
        </w:rPr>
        <w:t>імплементувати</w:t>
      </w:r>
      <w:proofErr w:type="spellEnd"/>
      <w:r w:rsidR="00B138D7">
        <w:rPr>
          <w:sz w:val="24"/>
          <w:szCs w:val="24"/>
        </w:rPr>
        <w:t xml:space="preserve"> під наглядом Комітету Міністрів належні загальні та/або індивідуальні заходи для забезпечення</w:t>
      </w:r>
      <w:r w:rsidR="00461F75">
        <w:rPr>
          <w:sz w:val="24"/>
          <w:szCs w:val="24"/>
        </w:rPr>
        <w:t xml:space="preserve"> реалізації</w:t>
      </w:r>
      <w:r w:rsidR="00B138D7">
        <w:rPr>
          <w:sz w:val="24"/>
          <w:szCs w:val="24"/>
        </w:rPr>
        <w:t xml:space="preserve"> порушеного права як</w:t>
      </w:r>
      <w:r w:rsidR="00461F75">
        <w:rPr>
          <w:sz w:val="24"/>
          <w:szCs w:val="24"/>
        </w:rPr>
        <w:t xml:space="preserve"> для</w:t>
      </w:r>
      <w:r w:rsidR="00B138D7">
        <w:rPr>
          <w:sz w:val="24"/>
          <w:szCs w:val="24"/>
        </w:rPr>
        <w:t xml:space="preserve"> заявників, так і інших осіб у такому ж становищі. З такою метою ЄСПЛ й приймає пілотні рішення, що визначають структурні проблеми</w:t>
      </w:r>
      <w:r w:rsidR="00461F75">
        <w:rPr>
          <w:sz w:val="24"/>
          <w:szCs w:val="24"/>
        </w:rPr>
        <w:t xml:space="preserve"> та </w:t>
      </w:r>
      <w:r w:rsidR="00B138D7">
        <w:rPr>
          <w:sz w:val="24"/>
          <w:szCs w:val="24"/>
        </w:rPr>
        <w:t xml:space="preserve">визначають конкретні дії для їхнього вирішення. </w:t>
      </w:r>
      <w:r w:rsidR="00DE6A67">
        <w:rPr>
          <w:sz w:val="24"/>
          <w:szCs w:val="24"/>
        </w:rPr>
        <w:t>Пілотні</w:t>
      </w:r>
      <w:r w:rsidR="00B138D7">
        <w:rPr>
          <w:sz w:val="24"/>
          <w:szCs w:val="24"/>
        </w:rPr>
        <w:t xml:space="preserve"> рішення допомагають вирішити велику кількість індивідуальних заяв щодо подібних порушень.</w:t>
      </w:r>
    </w:p>
    <w:p w14:paraId="4F191238" w14:textId="43BB8EDB" w:rsidR="00544A37" w:rsidRPr="006E56FD" w:rsidRDefault="00B138D7" w:rsidP="008D006E">
      <w:pPr>
        <w:spacing w:after="0"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У цій пілотній справі ЄСПЛ зазначив, що в Молдові </w:t>
      </w:r>
      <w:r w:rsidR="00C76FAA">
        <w:rPr>
          <w:sz w:val="24"/>
          <w:szCs w:val="24"/>
        </w:rPr>
        <w:t>рішення</w:t>
      </w:r>
      <w:r>
        <w:rPr>
          <w:sz w:val="24"/>
          <w:szCs w:val="24"/>
        </w:rPr>
        <w:t xml:space="preserve"> щодо надання соціального житла</w:t>
      </w:r>
      <w:r w:rsidR="005137E2" w:rsidRPr="005128F4">
        <w:rPr>
          <w:sz w:val="24"/>
          <w:szCs w:val="24"/>
        </w:rPr>
        <w:t xml:space="preserve"> складають більшу частину невиконаних судових рішень у </w:t>
      </w:r>
      <w:r>
        <w:rPr>
          <w:sz w:val="24"/>
          <w:szCs w:val="24"/>
        </w:rPr>
        <w:t>країні</w:t>
      </w:r>
      <w:r w:rsidR="005137E2" w:rsidRPr="005128F4">
        <w:rPr>
          <w:sz w:val="24"/>
          <w:szCs w:val="24"/>
        </w:rPr>
        <w:t>.</w:t>
      </w:r>
      <w:r w:rsidR="009E5982">
        <w:rPr>
          <w:sz w:val="24"/>
          <w:szCs w:val="24"/>
        </w:rPr>
        <w:t xml:space="preserve"> Більш того, станом на дату прийняття рішення </w:t>
      </w:r>
      <w:r w:rsidR="00322515">
        <w:rPr>
          <w:sz w:val="24"/>
          <w:szCs w:val="24"/>
        </w:rPr>
        <w:t xml:space="preserve">в ЄСПЛ було зареєстровано понад 300 заяв </w:t>
      </w:r>
      <w:r w:rsidR="00C76FAA">
        <w:rPr>
          <w:sz w:val="24"/>
          <w:szCs w:val="24"/>
        </w:rPr>
        <w:t>з приводу</w:t>
      </w:r>
      <w:r w:rsidR="00322515">
        <w:rPr>
          <w:sz w:val="24"/>
          <w:szCs w:val="24"/>
        </w:rPr>
        <w:t xml:space="preserve"> подібних справ</w:t>
      </w:r>
      <w:r w:rsidR="00C76FAA">
        <w:rPr>
          <w:sz w:val="24"/>
          <w:szCs w:val="24"/>
        </w:rPr>
        <w:t>.</w:t>
      </w:r>
      <w:r w:rsidR="00322515">
        <w:rPr>
          <w:sz w:val="24"/>
          <w:szCs w:val="24"/>
        </w:rPr>
        <w:t xml:space="preserve"> Причиною тако</w:t>
      </w:r>
      <w:r w:rsidR="00810A06">
        <w:rPr>
          <w:sz w:val="24"/>
          <w:szCs w:val="24"/>
        </w:rPr>
        <w:t xml:space="preserve">ї проблеми ЄСПЛ визначив </w:t>
      </w:r>
      <w:r w:rsidR="005E3CC8">
        <w:rPr>
          <w:sz w:val="24"/>
          <w:szCs w:val="24"/>
        </w:rPr>
        <w:t xml:space="preserve">положення </w:t>
      </w:r>
      <w:r w:rsidR="00810A06">
        <w:rPr>
          <w:sz w:val="24"/>
          <w:szCs w:val="24"/>
        </w:rPr>
        <w:t>законодавств</w:t>
      </w:r>
      <w:r w:rsidR="005E3CC8">
        <w:rPr>
          <w:sz w:val="24"/>
          <w:szCs w:val="24"/>
        </w:rPr>
        <w:t>а Молдови</w:t>
      </w:r>
      <w:r w:rsidR="00C76FAA">
        <w:rPr>
          <w:sz w:val="24"/>
          <w:szCs w:val="24"/>
        </w:rPr>
        <w:t>:</w:t>
      </w:r>
      <w:r w:rsidR="00D52CBA">
        <w:rPr>
          <w:sz w:val="24"/>
          <w:szCs w:val="24"/>
        </w:rPr>
        <w:t xml:space="preserve"> право на отримання </w:t>
      </w:r>
      <w:r w:rsidR="00CC7F29">
        <w:rPr>
          <w:sz w:val="24"/>
          <w:szCs w:val="24"/>
        </w:rPr>
        <w:t xml:space="preserve">безкоштовного </w:t>
      </w:r>
      <w:r w:rsidR="00CC7F29" w:rsidRPr="006E56FD">
        <w:rPr>
          <w:sz w:val="24"/>
          <w:szCs w:val="24"/>
        </w:rPr>
        <w:t xml:space="preserve">соціального житла </w:t>
      </w:r>
      <w:r w:rsidR="00C76FAA" w:rsidRPr="006E56FD">
        <w:rPr>
          <w:sz w:val="24"/>
          <w:szCs w:val="24"/>
        </w:rPr>
        <w:t>за рахунок коштів місцевих адміністрацій</w:t>
      </w:r>
      <w:r w:rsidR="00C76FAA">
        <w:rPr>
          <w:sz w:val="24"/>
          <w:szCs w:val="24"/>
        </w:rPr>
        <w:t xml:space="preserve"> було передбачено </w:t>
      </w:r>
      <w:r w:rsidR="00CC7F29" w:rsidRPr="006E56FD">
        <w:rPr>
          <w:sz w:val="24"/>
          <w:szCs w:val="24"/>
        </w:rPr>
        <w:t>для понад 20 категорій осіб</w:t>
      </w:r>
      <w:r w:rsidR="007408A8" w:rsidRPr="006E56FD">
        <w:rPr>
          <w:sz w:val="24"/>
          <w:szCs w:val="24"/>
        </w:rPr>
        <w:t>, проте не</w:t>
      </w:r>
      <w:r w:rsidR="00C76FAA">
        <w:rPr>
          <w:sz w:val="24"/>
          <w:szCs w:val="24"/>
        </w:rPr>
        <w:t xml:space="preserve"> було</w:t>
      </w:r>
      <w:r w:rsidR="007408A8" w:rsidRPr="006E56FD">
        <w:rPr>
          <w:sz w:val="24"/>
          <w:szCs w:val="24"/>
        </w:rPr>
        <w:t xml:space="preserve"> </w:t>
      </w:r>
      <w:r w:rsidR="00D245DE" w:rsidRPr="006E56FD">
        <w:rPr>
          <w:sz w:val="24"/>
          <w:szCs w:val="24"/>
        </w:rPr>
        <w:t>передбач</w:t>
      </w:r>
      <w:r w:rsidR="00C76FAA">
        <w:rPr>
          <w:sz w:val="24"/>
          <w:szCs w:val="24"/>
        </w:rPr>
        <w:t>ено ніяких джерел</w:t>
      </w:r>
      <w:r w:rsidR="00D245DE" w:rsidRPr="006E56FD">
        <w:rPr>
          <w:sz w:val="24"/>
          <w:szCs w:val="24"/>
        </w:rPr>
        <w:t xml:space="preserve"> фінансування </w:t>
      </w:r>
      <w:r w:rsidR="00D245DE" w:rsidRPr="006E56FD">
        <w:rPr>
          <w:sz w:val="24"/>
          <w:szCs w:val="24"/>
        </w:rPr>
        <w:lastRenderedPageBreak/>
        <w:t xml:space="preserve">таких </w:t>
      </w:r>
      <w:proofErr w:type="spellStart"/>
      <w:r w:rsidR="00D245DE" w:rsidRPr="006E56FD">
        <w:rPr>
          <w:sz w:val="24"/>
          <w:szCs w:val="24"/>
        </w:rPr>
        <w:t>проєктів</w:t>
      </w:r>
      <w:proofErr w:type="spellEnd"/>
      <w:r w:rsidR="00D245DE" w:rsidRPr="006E56FD">
        <w:rPr>
          <w:sz w:val="24"/>
          <w:szCs w:val="24"/>
        </w:rPr>
        <w:t xml:space="preserve">. </w:t>
      </w:r>
      <w:r w:rsidR="000B0558" w:rsidRPr="006E56FD">
        <w:rPr>
          <w:sz w:val="24"/>
          <w:szCs w:val="24"/>
        </w:rPr>
        <w:t xml:space="preserve">Як наслідок, рішення національних судів про надання такого житла </w:t>
      </w:r>
      <w:r w:rsidR="00C76FAA">
        <w:rPr>
          <w:sz w:val="24"/>
          <w:szCs w:val="24"/>
        </w:rPr>
        <w:t>було фізично неможливо виконати</w:t>
      </w:r>
      <w:r w:rsidR="00684419" w:rsidRPr="006E56FD">
        <w:rPr>
          <w:sz w:val="24"/>
          <w:szCs w:val="24"/>
        </w:rPr>
        <w:t>.</w:t>
      </w:r>
    </w:p>
    <w:p w14:paraId="11AF0D1A" w14:textId="128236A8" w:rsidR="009E4354" w:rsidRPr="006E56FD" w:rsidRDefault="005F5B16" w:rsidP="00953C6F">
      <w:pPr>
        <w:spacing w:after="0" w:line="276" w:lineRule="auto"/>
        <w:ind w:firstLine="567"/>
        <w:rPr>
          <w:sz w:val="24"/>
          <w:szCs w:val="24"/>
        </w:rPr>
      </w:pPr>
      <w:r w:rsidRPr="006E56FD">
        <w:rPr>
          <w:sz w:val="24"/>
          <w:szCs w:val="24"/>
        </w:rPr>
        <w:t xml:space="preserve">Відповідно, </w:t>
      </w:r>
      <w:r w:rsidR="00347805" w:rsidRPr="006E56FD">
        <w:rPr>
          <w:sz w:val="24"/>
          <w:szCs w:val="24"/>
        </w:rPr>
        <w:t>ЄСПЛ</w:t>
      </w:r>
      <w:r w:rsidR="00F73B56">
        <w:rPr>
          <w:sz w:val="24"/>
          <w:szCs w:val="24"/>
        </w:rPr>
        <w:t xml:space="preserve"> визнав наявність структурних проблем. </w:t>
      </w:r>
      <w:r w:rsidR="00953C6F">
        <w:rPr>
          <w:sz w:val="24"/>
          <w:szCs w:val="24"/>
        </w:rPr>
        <w:t xml:space="preserve">ЄСПЛ погодився з Урядом Молдови, що внесення змін національного законодавства, що вже було ініційоване станом на дату розгляду справи, є ефективним способом вирішення наявної проблеми для майбутніх справ. Тим не менш, це не є ефективним механізмом захисту для осіб, що вже зазнали порушення. </w:t>
      </w:r>
      <w:r w:rsidR="00F73B56">
        <w:rPr>
          <w:sz w:val="24"/>
          <w:szCs w:val="24"/>
        </w:rPr>
        <w:t>Для вирішення</w:t>
      </w:r>
      <w:r w:rsidR="00953C6F">
        <w:rPr>
          <w:sz w:val="24"/>
          <w:szCs w:val="24"/>
        </w:rPr>
        <w:t xml:space="preserve"> ситуації, що склалася, ЄСПЛ</w:t>
      </w:r>
      <w:r w:rsidR="00F73B56">
        <w:rPr>
          <w:sz w:val="24"/>
          <w:szCs w:val="24"/>
        </w:rPr>
        <w:t xml:space="preserve"> </w:t>
      </w:r>
      <w:r w:rsidR="00953C6F">
        <w:rPr>
          <w:sz w:val="24"/>
          <w:szCs w:val="24"/>
        </w:rPr>
        <w:t>зобов’язав</w:t>
      </w:r>
      <w:r w:rsidR="00953C6F" w:rsidRPr="006E56FD">
        <w:rPr>
          <w:sz w:val="24"/>
          <w:szCs w:val="24"/>
        </w:rPr>
        <w:t xml:space="preserve"> </w:t>
      </w:r>
      <w:r w:rsidR="00F73B56">
        <w:rPr>
          <w:sz w:val="24"/>
          <w:szCs w:val="24"/>
        </w:rPr>
        <w:t>Молдов</w:t>
      </w:r>
      <w:r w:rsidR="00953C6F">
        <w:rPr>
          <w:sz w:val="24"/>
          <w:szCs w:val="24"/>
        </w:rPr>
        <w:t>у</w:t>
      </w:r>
      <w:r w:rsidR="00347805" w:rsidRPr="006E56FD">
        <w:rPr>
          <w:sz w:val="24"/>
          <w:szCs w:val="24"/>
        </w:rPr>
        <w:t xml:space="preserve"> </w:t>
      </w:r>
      <w:r w:rsidR="00F73B56" w:rsidRPr="00F73B56">
        <w:rPr>
          <w:sz w:val="24"/>
          <w:szCs w:val="24"/>
        </w:rPr>
        <w:t xml:space="preserve">протягом шести місяців </w:t>
      </w:r>
      <w:r w:rsidR="00347805" w:rsidRPr="006E56FD">
        <w:rPr>
          <w:sz w:val="24"/>
          <w:szCs w:val="24"/>
        </w:rPr>
        <w:t xml:space="preserve">запровадити такий ефективний національний механізм захисту, що забезпечував би </w:t>
      </w:r>
      <w:r w:rsidR="00EB01F8" w:rsidRPr="006E56FD">
        <w:rPr>
          <w:sz w:val="24"/>
          <w:szCs w:val="24"/>
        </w:rPr>
        <w:t>адекватне</w:t>
      </w:r>
      <w:r w:rsidR="00347805" w:rsidRPr="006E56FD">
        <w:rPr>
          <w:sz w:val="24"/>
          <w:szCs w:val="24"/>
        </w:rPr>
        <w:t xml:space="preserve"> та достатнє відшкодування за невиконання чи затримку у виконанні рішень щодо </w:t>
      </w:r>
      <w:r w:rsidR="00EB01F8" w:rsidRPr="006E56FD">
        <w:rPr>
          <w:sz w:val="24"/>
          <w:szCs w:val="24"/>
        </w:rPr>
        <w:t>соціального житла.</w:t>
      </w:r>
      <w:r w:rsidR="006546A9" w:rsidRPr="006E56FD">
        <w:rPr>
          <w:sz w:val="24"/>
          <w:szCs w:val="24"/>
        </w:rPr>
        <w:t xml:space="preserve"> </w:t>
      </w:r>
      <w:r w:rsidR="00EB01F8" w:rsidRPr="006E56FD">
        <w:rPr>
          <w:sz w:val="24"/>
          <w:szCs w:val="24"/>
        </w:rPr>
        <w:t xml:space="preserve">Крім того, ЄСПЛ також зобов’язав Молдову надати таке відшкодування </w:t>
      </w:r>
      <w:r w:rsidR="006546A9" w:rsidRPr="006E56FD">
        <w:rPr>
          <w:sz w:val="24"/>
          <w:szCs w:val="24"/>
        </w:rPr>
        <w:t>протягом одного року</w:t>
      </w:r>
      <w:r w:rsidR="0065615F" w:rsidRPr="006E56FD">
        <w:rPr>
          <w:sz w:val="24"/>
          <w:szCs w:val="24"/>
        </w:rPr>
        <w:t xml:space="preserve"> </w:t>
      </w:r>
      <w:r w:rsidR="00A57502" w:rsidRPr="006E56FD">
        <w:rPr>
          <w:sz w:val="24"/>
          <w:szCs w:val="24"/>
        </w:rPr>
        <w:t xml:space="preserve">за всіма заявами </w:t>
      </w:r>
      <w:r w:rsidR="006E56FD" w:rsidRPr="006E56FD">
        <w:rPr>
          <w:sz w:val="24"/>
          <w:szCs w:val="24"/>
        </w:rPr>
        <w:t xml:space="preserve">до ЄСПЛ </w:t>
      </w:r>
      <w:r w:rsidR="00A57502" w:rsidRPr="006E56FD">
        <w:rPr>
          <w:sz w:val="24"/>
          <w:szCs w:val="24"/>
        </w:rPr>
        <w:t xml:space="preserve">у справах про невиконання </w:t>
      </w:r>
      <w:r w:rsidR="006E56FD" w:rsidRPr="006E56FD">
        <w:rPr>
          <w:sz w:val="24"/>
          <w:szCs w:val="24"/>
        </w:rPr>
        <w:t>рішень про надання соціального житла</w:t>
      </w:r>
      <w:r w:rsidR="006546A9" w:rsidRPr="006E56FD">
        <w:rPr>
          <w:sz w:val="24"/>
          <w:szCs w:val="24"/>
        </w:rPr>
        <w:t>.</w:t>
      </w:r>
      <w:r w:rsidR="00953C6F">
        <w:rPr>
          <w:sz w:val="24"/>
          <w:szCs w:val="24"/>
        </w:rPr>
        <w:t xml:space="preserve"> У</w:t>
      </w:r>
      <w:r w:rsidR="006546A9" w:rsidRPr="006E56FD">
        <w:rPr>
          <w:sz w:val="24"/>
          <w:szCs w:val="24"/>
        </w:rPr>
        <w:t xml:space="preserve"> зв’язку з цим пілотним рішенням ЄСПЛ відклав ро</w:t>
      </w:r>
      <w:r w:rsidR="005128F4" w:rsidRPr="006E56FD">
        <w:rPr>
          <w:sz w:val="24"/>
          <w:szCs w:val="24"/>
        </w:rPr>
        <w:t>згляд всіх</w:t>
      </w:r>
      <w:r w:rsidR="00426CDB" w:rsidRPr="006E56FD">
        <w:rPr>
          <w:sz w:val="24"/>
          <w:szCs w:val="24"/>
        </w:rPr>
        <w:t xml:space="preserve"> нових</w:t>
      </w:r>
      <w:r w:rsidR="005128F4" w:rsidRPr="006E56FD">
        <w:rPr>
          <w:sz w:val="24"/>
          <w:szCs w:val="24"/>
        </w:rPr>
        <w:t xml:space="preserve"> подібних справ проти Молдови</w:t>
      </w:r>
      <w:r w:rsidR="00426CDB" w:rsidRPr="006E56FD">
        <w:rPr>
          <w:sz w:val="24"/>
          <w:szCs w:val="24"/>
        </w:rPr>
        <w:t xml:space="preserve"> на один рік</w:t>
      </w:r>
      <w:r w:rsidR="005128F4" w:rsidRPr="006E56FD">
        <w:rPr>
          <w:sz w:val="24"/>
          <w:szCs w:val="24"/>
        </w:rPr>
        <w:t>.</w:t>
      </w:r>
    </w:p>
    <w:p w14:paraId="172D308C" w14:textId="3BAC1FD6" w:rsidR="005128F4" w:rsidRDefault="005128F4" w:rsidP="008D006E">
      <w:pPr>
        <w:spacing w:after="0" w:line="276" w:lineRule="auto"/>
        <w:ind w:firstLine="567"/>
        <w:rPr>
          <w:sz w:val="24"/>
          <w:szCs w:val="24"/>
        </w:rPr>
      </w:pPr>
    </w:p>
    <w:p w14:paraId="554E1854" w14:textId="614138C3" w:rsidR="005128F4" w:rsidRDefault="005128F4" w:rsidP="008D006E">
      <w:pPr>
        <w:spacing w:after="0" w:line="276" w:lineRule="auto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Подальші події в національній системі</w:t>
      </w:r>
    </w:p>
    <w:p w14:paraId="1E2B728C" w14:textId="7106C170" w:rsidR="005128F4" w:rsidRDefault="00392B28" w:rsidP="008D006E">
      <w:pPr>
        <w:spacing w:after="0"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Для виконання рішення </w:t>
      </w:r>
      <w:r w:rsidR="00C7578D">
        <w:rPr>
          <w:sz w:val="24"/>
          <w:szCs w:val="24"/>
        </w:rPr>
        <w:t>в справі Парламент Молдови прийняв Закон № 87, що</w:t>
      </w:r>
      <w:r w:rsidR="008F16AB">
        <w:rPr>
          <w:sz w:val="24"/>
          <w:szCs w:val="24"/>
        </w:rPr>
        <w:t xml:space="preserve"> передбачав</w:t>
      </w:r>
      <w:r w:rsidR="00C7578D">
        <w:rPr>
          <w:sz w:val="24"/>
          <w:szCs w:val="24"/>
        </w:rPr>
        <w:t xml:space="preserve"> </w:t>
      </w:r>
      <w:r w:rsidR="008F16AB" w:rsidRPr="008F16AB">
        <w:rPr>
          <w:sz w:val="24"/>
          <w:szCs w:val="24"/>
        </w:rPr>
        <w:t>право будь-якої фізичної чи юридичної особи вимагати в суді матеріальну та моральну компенсацію за порушення вимоги розумного строку на стаді</w:t>
      </w:r>
      <w:r w:rsidR="00C03A09">
        <w:rPr>
          <w:sz w:val="24"/>
          <w:szCs w:val="24"/>
        </w:rPr>
        <w:t>ях</w:t>
      </w:r>
      <w:r w:rsidR="008F16AB" w:rsidRPr="008F16AB">
        <w:rPr>
          <w:sz w:val="24"/>
          <w:szCs w:val="24"/>
        </w:rPr>
        <w:t xml:space="preserve"> кримінального </w:t>
      </w:r>
      <w:r w:rsidR="00AC057A">
        <w:rPr>
          <w:sz w:val="24"/>
          <w:szCs w:val="24"/>
        </w:rPr>
        <w:t>провадження</w:t>
      </w:r>
      <w:r w:rsidR="008F16AB" w:rsidRPr="008F16AB">
        <w:rPr>
          <w:sz w:val="24"/>
          <w:szCs w:val="24"/>
        </w:rPr>
        <w:t xml:space="preserve">, судового розгляду </w:t>
      </w:r>
      <w:r w:rsidR="00C03A09">
        <w:rPr>
          <w:sz w:val="24"/>
          <w:szCs w:val="24"/>
        </w:rPr>
        <w:t xml:space="preserve">справи </w:t>
      </w:r>
      <w:r w:rsidR="008F16AB" w:rsidRPr="008F16AB">
        <w:rPr>
          <w:sz w:val="24"/>
          <w:szCs w:val="24"/>
        </w:rPr>
        <w:t xml:space="preserve">чи виконання </w:t>
      </w:r>
      <w:r w:rsidR="00C03A09">
        <w:rPr>
          <w:sz w:val="24"/>
          <w:szCs w:val="24"/>
        </w:rPr>
        <w:t>судового рішення</w:t>
      </w:r>
      <w:r w:rsidR="008F16AB" w:rsidRPr="008F16AB">
        <w:rPr>
          <w:sz w:val="24"/>
          <w:szCs w:val="24"/>
        </w:rPr>
        <w:t>.</w:t>
      </w:r>
    </w:p>
    <w:p w14:paraId="23F23AAF" w14:textId="77777777" w:rsidR="00021348" w:rsidRDefault="008F16AB" w:rsidP="00EA561E">
      <w:pPr>
        <w:spacing w:after="0" w:line="276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Крім того, з огляду на фізичну складність надання соціального житла всім категоріям населення, що мали право на його отримання, Молдова почала суттєво реформувати </w:t>
      </w:r>
      <w:r w:rsidR="00780B45">
        <w:rPr>
          <w:sz w:val="24"/>
          <w:szCs w:val="24"/>
        </w:rPr>
        <w:t>своє житлове законодавство</w:t>
      </w:r>
      <w:r w:rsidR="00021348">
        <w:rPr>
          <w:sz w:val="24"/>
          <w:szCs w:val="24"/>
        </w:rPr>
        <w:t xml:space="preserve">, що фактично не змінювалось з моменту прийняття </w:t>
      </w:r>
      <w:r w:rsidR="00780B45">
        <w:rPr>
          <w:sz w:val="24"/>
          <w:szCs w:val="24"/>
        </w:rPr>
        <w:t xml:space="preserve">в </w:t>
      </w:r>
      <w:r w:rsidR="008D006E" w:rsidRPr="008D006E">
        <w:rPr>
          <w:sz w:val="24"/>
          <w:szCs w:val="24"/>
        </w:rPr>
        <w:t>1983</w:t>
      </w:r>
      <w:r w:rsidR="008D006E">
        <w:rPr>
          <w:sz w:val="24"/>
          <w:szCs w:val="24"/>
        </w:rPr>
        <w:t xml:space="preserve"> році.</w:t>
      </w:r>
      <w:r w:rsidR="00EA561E" w:rsidRPr="00EA561E">
        <w:rPr>
          <w:sz w:val="24"/>
          <w:szCs w:val="24"/>
        </w:rPr>
        <w:t xml:space="preserve"> </w:t>
      </w:r>
      <w:r w:rsidR="00EA561E">
        <w:rPr>
          <w:sz w:val="24"/>
          <w:szCs w:val="24"/>
        </w:rPr>
        <w:t xml:space="preserve">Ще на час розгляду справи в ЄСПЛ у Молдові було розроблено </w:t>
      </w:r>
      <w:proofErr w:type="spellStart"/>
      <w:r w:rsidR="00EA561E">
        <w:rPr>
          <w:sz w:val="24"/>
          <w:szCs w:val="24"/>
        </w:rPr>
        <w:t>проєкт</w:t>
      </w:r>
      <w:proofErr w:type="spellEnd"/>
      <w:r w:rsidR="00EA561E">
        <w:rPr>
          <w:sz w:val="24"/>
          <w:szCs w:val="24"/>
        </w:rPr>
        <w:t xml:space="preserve"> закону, що позбавляв 23 категорії осіб права на отримання безкоштовного соціального житла.</w:t>
      </w:r>
    </w:p>
    <w:p w14:paraId="6458DF9E" w14:textId="114D7D2A" w:rsidR="00EA561E" w:rsidRPr="00C4718F" w:rsidRDefault="00E55FA0" w:rsidP="00EA561E">
      <w:pPr>
        <w:spacing w:after="0" w:line="276" w:lineRule="auto"/>
        <w:ind w:firstLine="567"/>
        <w:rPr>
          <w:sz w:val="24"/>
          <w:szCs w:val="24"/>
        </w:rPr>
      </w:pPr>
      <w:r>
        <w:rPr>
          <w:sz w:val="24"/>
          <w:szCs w:val="24"/>
          <w:lang w:val="ru-RU"/>
        </w:rPr>
        <w:t>З часом Молдова почала</w:t>
      </w:r>
      <w:r w:rsidR="00C4718F">
        <w:rPr>
          <w:sz w:val="24"/>
          <w:szCs w:val="24"/>
        </w:rPr>
        <w:t xml:space="preserve"> шукати нові способи сприяння реалізації права на житло. Так, окремі міністерства </w:t>
      </w:r>
      <w:r w:rsidR="001258FF">
        <w:rPr>
          <w:sz w:val="24"/>
          <w:szCs w:val="24"/>
        </w:rPr>
        <w:t>запроваджували іпотечні програми для держ</w:t>
      </w:r>
      <w:r w:rsidR="00021348">
        <w:rPr>
          <w:sz w:val="24"/>
          <w:szCs w:val="24"/>
        </w:rPr>
        <w:t xml:space="preserve">авних </w:t>
      </w:r>
      <w:r w:rsidR="001258FF">
        <w:rPr>
          <w:sz w:val="24"/>
          <w:szCs w:val="24"/>
        </w:rPr>
        <w:t>службовців. З часом</w:t>
      </w:r>
      <w:r w:rsidR="003213A1">
        <w:rPr>
          <w:sz w:val="24"/>
          <w:szCs w:val="24"/>
        </w:rPr>
        <w:t xml:space="preserve"> до нового житлового кодексу все ж додали положення про право на отримання житла, однак було встановлено заборону на приватизацію такого житла.</w:t>
      </w:r>
    </w:p>
    <w:p w14:paraId="1019CA3E" w14:textId="068976A6" w:rsidR="008F16AB" w:rsidRDefault="008F16AB" w:rsidP="008D006E">
      <w:pPr>
        <w:spacing w:after="0" w:line="276" w:lineRule="auto"/>
        <w:ind w:firstLine="567"/>
        <w:rPr>
          <w:sz w:val="24"/>
          <w:szCs w:val="24"/>
        </w:rPr>
      </w:pPr>
    </w:p>
    <w:p w14:paraId="62997EE4" w14:textId="1E897726" w:rsidR="003213A1" w:rsidRDefault="003213A1" w:rsidP="008D006E">
      <w:pPr>
        <w:spacing w:after="0" w:line="276" w:lineRule="auto"/>
        <w:ind w:firstLine="567"/>
        <w:rPr>
          <w:b/>
          <w:bCs/>
          <w:sz w:val="24"/>
          <w:szCs w:val="24"/>
        </w:rPr>
      </w:pPr>
      <w:r w:rsidRPr="003213A1">
        <w:rPr>
          <w:b/>
          <w:bCs/>
          <w:sz w:val="24"/>
          <w:szCs w:val="24"/>
        </w:rPr>
        <w:t>Український контекст рішення</w:t>
      </w:r>
    </w:p>
    <w:p w14:paraId="1AACB6D6" w14:textId="596B3B0F" w:rsidR="003213A1" w:rsidRDefault="00A0219C" w:rsidP="00CC5A02">
      <w:pPr>
        <w:spacing w:after="0"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Рішення «</w:t>
      </w:r>
      <w:proofErr w:type="spellStart"/>
      <w:r>
        <w:rPr>
          <w:sz w:val="24"/>
          <w:szCs w:val="24"/>
        </w:rPr>
        <w:t>Олару</w:t>
      </w:r>
      <w:proofErr w:type="spellEnd"/>
      <w:r>
        <w:rPr>
          <w:sz w:val="24"/>
          <w:szCs w:val="24"/>
        </w:rPr>
        <w:t xml:space="preserve"> та інші проти Молдови» часто згадують у контексті рішення «</w:t>
      </w:r>
      <w:proofErr w:type="spellStart"/>
      <w:r>
        <w:rPr>
          <w:sz w:val="24"/>
          <w:szCs w:val="24"/>
        </w:rPr>
        <w:t>Бурмич</w:t>
      </w:r>
      <w:proofErr w:type="spellEnd"/>
      <w:r>
        <w:rPr>
          <w:sz w:val="24"/>
          <w:szCs w:val="24"/>
        </w:rPr>
        <w:t xml:space="preserve"> проти України». Експертний </w:t>
      </w:r>
      <w:r w:rsidR="00580149">
        <w:rPr>
          <w:sz w:val="24"/>
          <w:szCs w:val="24"/>
        </w:rPr>
        <w:t xml:space="preserve">аналіз, проведений у рамках </w:t>
      </w:r>
      <w:proofErr w:type="spellStart"/>
      <w:r w:rsidR="00580149">
        <w:rPr>
          <w:sz w:val="24"/>
          <w:szCs w:val="24"/>
        </w:rPr>
        <w:t>проєкту</w:t>
      </w:r>
      <w:proofErr w:type="spellEnd"/>
      <w:r w:rsidR="00580149">
        <w:rPr>
          <w:sz w:val="24"/>
          <w:szCs w:val="24"/>
        </w:rPr>
        <w:t xml:space="preserve"> </w:t>
      </w:r>
      <w:r w:rsidR="00CC5A02">
        <w:rPr>
          <w:sz w:val="24"/>
          <w:szCs w:val="24"/>
        </w:rPr>
        <w:t>«</w:t>
      </w:r>
      <w:r w:rsidR="00CC5A02" w:rsidRPr="00CC5A02">
        <w:rPr>
          <w:sz w:val="24"/>
          <w:szCs w:val="24"/>
        </w:rPr>
        <w:t>Подальша підтримка виконання Україною</w:t>
      </w:r>
      <w:r w:rsidR="00CC5A02">
        <w:rPr>
          <w:sz w:val="24"/>
          <w:szCs w:val="24"/>
        </w:rPr>
        <w:t xml:space="preserve"> </w:t>
      </w:r>
      <w:r w:rsidR="00CC5A02" w:rsidRPr="00CC5A02">
        <w:rPr>
          <w:sz w:val="24"/>
          <w:szCs w:val="24"/>
        </w:rPr>
        <w:t>рішень у контексті статті 6 Європейської конвенції з прав людини</w:t>
      </w:r>
      <w:r w:rsidR="00CC5A02">
        <w:rPr>
          <w:sz w:val="24"/>
          <w:szCs w:val="24"/>
        </w:rPr>
        <w:t xml:space="preserve">», назвав </w:t>
      </w:r>
      <w:r w:rsidR="002D5CF0">
        <w:rPr>
          <w:sz w:val="24"/>
          <w:szCs w:val="24"/>
        </w:rPr>
        <w:t>описану пілотну справу «найактуальнішим прикладом у контексті виконання рішення в справі «</w:t>
      </w:r>
      <w:proofErr w:type="spellStart"/>
      <w:r w:rsidR="002D5CF0">
        <w:rPr>
          <w:sz w:val="24"/>
          <w:szCs w:val="24"/>
        </w:rPr>
        <w:t>Бу</w:t>
      </w:r>
      <w:r w:rsidR="00513025">
        <w:rPr>
          <w:sz w:val="24"/>
          <w:szCs w:val="24"/>
        </w:rPr>
        <w:t>рмич</w:t>
      </w:r>
      <w:proofErr w:type="spellEnd"/>
      <w:r w:rsidR="00513025">
        <w:rPr>
          <w:sz w:val="24"/>
          <w:szCs w:val="24"/>
        </w:rPr>
        <w:t xml:space="preserve"> проти України»</w:t>
      </w:r>
      <w:r w:rsidR="00513025">
        <w:rPr>
          <w:rStyle w:val="a5"/>
          <w:sz w:val="24"/>
          <w:szCs w:val="24"/>
        </w:rPr>
        <w:footnoteReference w:id="2"/>
      </w:r>
      <w:r w:rsidR="00513025">
        <w:rPr>
          <w:sz w:val="24"/>
          <w:szCs w:val="24"/>
        </w:rPr>
        <w:t>.</w:t>
      </w:r>
    </w:p>
    <w:p w14:paraId="01C5975A" w14:textId="64C77EA9" w:rsidR="00DC3075" w:rsidRPr="003213A1" w:rsidRDefault="00DC3075" w:rsidP="00CC5A02">
      <w:pPr>
        <w:spacing w:after="0"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Відповідно, </w:t>
      </w:r>
      <w:r w:rsidR="0019385F">
        <w:rPr>
          <w:sz w:val="24"/>
          <w:szCs w:val="24"/>
        </w:rPr>
        <w:t xml:space="preserve">приклад </w:t>
      </w:r>
      <w:r>
        <w:rPr>
          <w:sz w:val="24"/>
          <w:szCs w:val="24"/>
        </w:rPr>
        <w:t>Мо</w:t>
      </w:r>
      <w:r w:rsidR="00021348">
        <w:rPr>
          <w:sz w:val="24"/>
          <w:szCs w:val="24"/>
        </w:rPr>
        <w:t>л</w:t>
      </w:r>
      <w:r>
        <w:rPr>
          <w:sz w:val="24"/>
          <w:szCs w:val="24"/>
        </w:rPr>
        <w:t>дови щодо виконання рішення у справі «</w:t>
      </w:r>
      <w:proofErr w:type="spellStart"/>
      <w:r w:rsidRPr="00DC3075">
        <w:rPr>
          <w:sz w:val="24"/>
          <w:szCs w:val="24"/>
        </w:rPr>
        <w:t>Олару</w:t>
      </w:r>
      <w:proofErr w:type="spellEnd"/>
      <w:r w:rsidRPr="00DC3075">
        <w:rPr>
          <w:sz w:val="24"/>
          <w:szCs w:val="24"/>
        </w:rPr>
        <w:t xml:space="preserve"> та інші проти Молдови</w:t>
      </w:r>
      <w:r>
        <w:rPr>
          <w:sz w:val="24"/>
          <w:szCs w:val="24"/>
        </w:rPr>
        <w:t xml:space="preserve">» фактично показує, що інколи необхідно тимчасово скасувати певні соціальні виплати, </w:t>
      </w:r>
      <w:r w:rsidR="0019385F">
        <w:rPr>
          <w:sz w:val="24"/>
          <w:szCs w:val="24"/>
        </w:rPr>
        <w:t>що стають причиною постійних звернень у справах про невиконання.</w:t>
      </w:r>
    </w:p>
    <w:sectPr w:rsidR="00DC3075" w:rsidRPr="003213A1" w:rsidSect="002B6E4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A675B" w14:textId="77777777" w:rsidR="00433ED3" w:rsidRDefault="00433ED3" w:rsidP="008E552F">
      <w:pPr>
        <w:spacing w:after="0" w:line="240" w:lineRule="auto"/>
      </w:pPr>
      <w:r>
        <w:separator/>
      </w:r>
    </w:p>
  </w:endnote>
  <w:endnote w:type="continuationSeparator" w:id="0">
    <w:p w14:paraId="698EAC85" w14:textId="77777777" w:rsidR="00433ED3" w:rsidRDefault="00433ED3" w:rsidP="008E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9102D" w14:textId="77777777" w:rsidR="00433ED3" w:rsidRDefault="00433ED3" w:rsidP="008E552F">
      <w:pPr>
        <w:spacing w:after="0" w:line="240" w:lineRule="auto"/>
      </w:pPr>
      <w:r>
        <w:separator/>
      </w:r>
    </w:p>
  </w:footnote>
  <w:footnote w:type="continuationSeparator" w:id="0">
    <w:p w14:paraId="6FB4F383" w14:textId="77777777" w:rsidR="00433ED3" w:rsidRDefault="00433ED3" w:rsidP="008E552F">
      <w:pPr>
        <w:spacing w:after="0" w:line="240" w:lineRule="auto"/>
      </w:pPr>
      <w:r>
        <w:continuationSeparator/>
      </w:r>
    </w:p>
  </w:footnote>
  <w:footnote w:id="1">
    <w:p w14:paraId="424C021E" w14:textId="2EB6E776" w:rsidR="007133C3" w:rsidRDefault="007133C3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="009E7F49" w:rsidRPr="009E7F49">
        <w:t>Prodan</w:t>
      </w:r>
      <w:proofErr w:type="spellEnd"/>
      <w:r w:rsidR="009E7F49" w:rsidRPr="009E7F49">
        <w:t xml:space="preserve"> v. </w:t>
      </w:r>
      <w:proofErr w:type="spellStart"/>
      <w:r w:rsidR="009E7F49" w:rsidRPr="009E7F49">
        <w:t>Moldova</w:t>
      </w:r>
      <w:proofErr w:type="spellEnd"/>
      <w:r w:rsidR="009E7F49" w:rsidRPr="009E7F49">
        <w:t xml:space="preserve">, </w:t>
      </w:r>
      <w:proofErr w:type="spellStart"/>
      <w:r w:rsidR="009E7F49" w:rsidRPr="009E7F49">
        <w:t>no</w:t>
      </w:r>
      <w:proofErr w:type="spellEnd"/>
      <w:r w:rsidR="009E7F49" w:rsidRPr="009E7F49">
        <w:t>. 49806/99, ECHR 2004 III (</w:t>
      </w:r>
      <w:proofErr w:type="spellStart"/>
      <w:r w:rsidR="009E7F49" w:rsidRPr="009E7F49">
        <w:t>extracts</w:t>
      </w:r>
      <w:proofErr w:type="spellEnd"/>
      <w:r w:rsidR="009E7F49" w:rsidRPr="009E7F49">
        <w:t xml:space="preserve">), </w:t>
      </w:r>
      <w:proofErr w:type="spellStart"/>
      <w:r w:rsidR="009E7F49" w:rsidRPr="009E7F49">
        <w:t>and</w:t>
      </w:r>
      <w:proofErr w:type="spellEnd"/>
      <w:r w:rsidR="009E7F49" w:rsidRPr="009E7F49">
        <w:t xml:space="preserve"> </w:t>
      </w:r>
      <w:proofErr w:type="spellStart"/>
      <w:r w:rsidR="009E7F49" w:rsidRPr="009E7F49">
        <w:t>Luntre</w:t>
      </w:r>
      <w:proofErr w:type="spellEnd"/>
      <w:r w:rsidR="009E7F49" w:rsidRPr="009E7F49">
        <w:t xml:space="preserve"> </w:t>
      </w:r>
      <w:proofErr w:type="spellStart"/>
      <w:r w:rsidR="009E7F49" w:rsidRPr="009E7F49">
        <w:t>and</w:t>
      </w:r>
      <w:proofErr w:type="spellEnd"/>
      <w:r w:rsidR="009E7F49" w:rsidRPr="009E7F49">
        <w:t xml:space="preserve"> </w:t>
      </w:r>
      <w:proofErr w:type="spellStart"/>
      <w:r w:rsidR="009E7F49" w:rsidRPr="009E7F49">
        <w:t>Others</w:t>
      </w:r>
      <w:proofErr w:type="spellEnd"/>
      <w:r w:rsidR="009E7F49" w:rsidRPr="009E7F49">
        <w:t xml:space="preserve"> v. </w:t>
      </w:r>
      <w:proofErr w:type="spellStart"/>
      <w:r w:rsidR="009E7F49" w:rsidRPr="009E7F49">
        <w:t>Moldova</w:t>
      </w:r>
      <w:proofErr w:type="spellEnd"/>
      <w:r w:rsidR="009E7F49" w:rsidRPr="009E7F49">
        <w:t xml:space="preserve">, </w:t>
      </w:r>
      <w:proofErr w:type="spellStart"/>
      <w:r w:rsidR="009E7F49" w:rsidRPr="009E7F49">
        <w:t>nos</w:t>
      </w:r>
      <w:proofErr w:type="spellEnd"/>
      <w:r w:rsidR="009E7F49" w:rsidRPr="009E7F49">
        <w:t xml:space="preserve">. 2916/02, 21960/02, 21951/02, 21941/02, 21933/02, 20491/02, 2676/02, 23594/02, 21956/02, 21953/02, 21943/02, 21947/02 </w:t>
      </w:r>
      <w:r w:rsidR="009E7F49">
        <w:t>та</w:t>
      </w:r>
      <w:r w:rsidR="009E7F49" w:rsidRPr="009E7F49">
        <w:t xml:space="preserve"> 21945/02, 15 </w:t>
      </w:r>
      <w:proofErr w:type="spellStart"/>
      <w:r w:rsidR="009E7F49" w:rsidRPr="009E7F49">
        <w:t>June</w:t>
      </w:r>
      <w:proofErr w:type="spellEnd"/>
      <w:r w:rsidR="009E7F49" w:rsidRPr="009E7F49">
        <w:t xml:space="preserve"> 2004</w:t>
      </w:r>
    </w:p>
  </w:footnote>
  <w:footnote w:id="2">
    <w:p w14:paraId="7D2D1502" w14:textId="594223FB" w:rsidR="00513025" w:rsidRDefault="00513025">
      <w:pPr>
        <w:pStyle w:val="a3"/>
      </w:pPr>
      <w:r>
        <w:rPr>
          <w:rStyle w:val="a5"/>
        </w:rPr>
        <w:footnoteRef/>
      </w:r>
      <w:r>
        <w:t xml:space="preserve"> </w:t>
      </w:r>
      <w:r w:rsidRPr="00513025">
        <w:t xml:space="preserve">Експертний аналіз, проведений у рамках </w:t>
      </w:r>
      <w:proofErr w:type="spellStart"/>
      <w:r w:rsidRPr="00513025">
        <w:t>проєкту</w:t>
      </w:r>
      <w:proofErr w:type="spellEnd"/>
      <w:r w:rsidRPr="00513025">
        <w:t xml:space="preserve"> «Подальша підтримка виконання Україною рішень у контексті статті 6 Європейської конвенції з прав людини»</w:t>
      </w:r>
      <w:r>
        <w:t xml:space="preserve">, Страсбург, вересень 2020 року. Доступ за посиланням: </w:t>
      </w:r>
      <w:hyperlink r:id="rId1" w:history="1">
        <w:r w:rsidR="00DC3075" w:rsidRPr="00A0155A">
          <w:rPr>
            <w:rStyle w:val="a6"/>
          </w:rPr>
          <w:t>https://rm.coe.int/expert-analysis-burmych-exec-social-legislation-l-apostol-ukr-final/1680a06994</w:t>
        </w:r>
      </w:hyperlink>
      <w:r w:rsidR="00DC3075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7A"/>
    <w:rsid w:val="00007A77"/>
    <w:rsid w:val="00021348"/>
    <w:rsid w:val="00047FA6"/>
    <w:rsid w:val="00073423"/>
    <w:rsid w:val="000779EE"/>
    <w:rsid w:val="000A2958"/>
    <w:rsid w:val="000A382E"/>
    <w:rsid w:val="000A4712"/>
    <w:rsid w:val="000A7C74"/>
    <w:rsid w:val="000B0558"/>
    <w:rsid w:val="000B58F6"/>
    <w:rsid w:val="000C20AB"/>
    <w:rsid w:val="000C669B"/>
    <w:rsid w:val="000D6294"/>
    <w:rsid w:val="000E30C1"/>
    <w:rsid w:val="00123847"/>
    <w:rsid w:val="00125690"/>
    <w:rsid w:val="001258FF"/>
    <w:rsid w:val="00136CC2"/>
    <w:rsid w:val="001544A1"/>
    <w:rsid w:val="00155254"/>
    <w:rsid w:val="00157B43"/>
    <w:rsid w:val="00165C7A"/>
    <w:rsid w:val="00177D77"/>
    <w:rsid w:val="0019385F"/>
    <w:rsid w:val="00194136"/>
    <w:rsid w:val="001B498F"/>
    <w:rsid w:val="001C17EF"/>
    <w:rsid w:val="001C2168"/>
    <w:rsid w:val="001F3FB0"/>
    <w:rsid w:val="00210202"/>
    <w:rsid w:val="002344E1"/>
    <w:rsid w:val="00241C3B"/>
    <w:rsid w:val="00250687"/>
    <w:rsid w:val="00255897"/>
    <w:rsid w:val="00262EAC"/>
    <w:rsid w:val="0028362A"/>
    <w:rsid w:val="00285B0D"/>
    <w:rsid w:val="002965B9"/>
    <w:rsid w:val="002A6283"/>
    <w:rsid w:val="002B6E42"/>
    <w:rsid w:val="002D5CF0"/>
    <w:rsid w:val="002E1030"/>
    <w:rsid w:val="002F1CD4"/>
    <w:rsid w:val="00302F7F"/>
    <w:rsid w:val="00314CCF"/>
    <w:rsid w:val="003213A1"/>
    <w:rsid w:val="00322515"/>
    <w:rsid w:val="00342E31"/>
    <w:rsid w:val="003449FF"/>
    <w:rsid w:val="00347805"/>
    <w:rsid w:val="0035394F"/>
    <w:rsid w:val="0035753E"/>
    <w:rsid w:val="003676FE"/>
    <w:rsid w:val="0037126E"/>
    <w:rsid w:val="00373F60"/>
    <w:rsid w:val="00375A16"/>
    <w:rsid w:val="00387C8A"/>
    <w:rsid w:val="00392B28"/>
    <w:rsid w:val="00397981"/>
    <w:rsid w:val="00397F29"/>
    <w:rsid w:val="003A7459"/>
    <w:rsid w:val="003C5B9A"/>
    <w:rsid w:val="003C6551"/>
    <w:rsid w:val="003D5DC1"/>
    <w:rsid w:val="003D764F"/>
    <w:rsid w:val="003E0116"/>
    <w:rsid w:val="003E0D71"/>
    <w:rsid w:val="003E10EA"/>
    <w:rsid w:val="003E36AF"/>
    <w:rsid w:val="003F14B5"/>
    <w:rsid w:val="00426CDB"/>
    <w:rsid w:val="00430285"/>
    <w:rsid w:val="00433ED3"/>
    <w:rsid w:val="00442B3B"/>
    <w:rsid w:val="004443E2"/>
    <w:rsid w:val="0045237A"/>
    <w:rsid w:val="0045476A"/>
    <w:rsid w:val="00461F75"/>
    <w:rsid w:val="00465C5C"/>
    <w:rsid w:val="004665D4"/>
    <w:rsid w:val="0048112A"/>
    <w:rsid w:val="00481BA1"/>
    <w:rsid w:val="004A27D9"/>
    <w:rsid w:val="004A3EC4"/>
    <w:rsid w:val="004C2778"/>
    <w:rsid w:val="004D55A0"/>
    <w:rsid w:val="00505F6F"/>
    <w:rsid w:val="005126E3"/>
    <w:rsid w:val="005128F4"/>
    <w:rsid w:val="00513025"/>
    <w:rsid w:val="005137E2"/>
    <w:rsid w:val="00520BE3"/>
    <w:rsid w:val="00525C2B"/>
    <w:rsid w:val="005401CF"/>
    <w:rsid w:val="00540C3A"/>
    <w:rsid w:val="00544A37"/>
    <w:rsid w:val="00545802"/>
    <w:rsid w:val="00554C9A"/>
    <w:rsid w:val="00556FE0"/>
    <w:rsid w:val="0056245F"/>
    <w:rsid w:val="005704AD"/>
    <w:rsid w:val="00580149"/>
    <w:rsid w:val="00597A93"/>
    <w:rsid w:val="005A28B3"/>
    <w:rsid w:val="005B5367"/>
    <w:rsid w:val="005C5025"/>
    <w:rsid w:val="005D1797"/>
    <w:rsid w:val="005E3CC8"/>
    <w:rsid w:val="005F5B16"/>
    <w:rsid w:val="006021BA"/>
    <w:rsid w:val="00613A49"/>
    <w:rsid w:val="00622F0F"/>
    <w:rsid w:val="00632DD8"/>
    <w:rsid w:val="00633308"/>
    <w:rsid w:val="006436FE"/>
    <w:rsid w:val="006546A9"/>
    <w:rsid w:val="0065615F"/>
    <w:rsid w:val="006611BD"/>
    <w:rsid w:val="0067389D"/>
    <w:rsid w:val="00682644"/>
    <w:rsid w:val="00684419"/>
    <w:rsid w:val="0068508E"/>
    <w:rsid w:val="006943F5"/>
    <w:rsid w:val="00697507"/>
    <w:rsid w:val="006A2A41"/>
    <w:rsid w:val="006A43BB"/>
    <w:rsid w:val="006B6A8E"/>
    <w:rsid w:val="006D695C"/>
    <w:rsid w:val="006D7FA8"/>
    <w:rsid w:val="006E56FD"/>
    <w:rsid w:val="006F1542"/>
    <w:rsid w:val="006F2CFD"/>
    <w:rsid w:val="00702D22"/>
    <w:rsid w:val="007133C3"/>
    <w:rsid w:val="00727D1A"/>
    <w:rsid w:val="007408A8"/>
    <w:rsid w:val="00753C9C"/>
    <w:rsid w:val="0076681A"/>
    <w:rsid w:val="00770490"/>
    <w:rsid w:val="00780B45"/>
    <w:rsid w:val="00790CDE"/>
    <w:rsid w:val="00791526"/>
    <w:rsid w:val="0079476B"/>
    <w:rsid w:val="007A21CF"/>
    <w:rsid w:val="007A750C"/>
    <w:rsid w:val="007E6958"/>
    <w:rsid w:val="007F146E"/>
    <w:rsid w:val="00803780"/>
    <w:rsid w:val="00804309"/>
    <w:rsid w:val="008103A2"/>
    <w:rsid w:val="00810A06"/>
    <w:rsid w:val="008323EA"/>
    <w:rsid w:val="00852107"/>
    <w:rsid w:val="00853AB2"/>
    <w:rsid w:val="00865777"/>
    <w:rsid w:val="008A2FAD"/>
    <w:rsid w:val="008B2691"/>
    <w:rsid w:val="008B632C"/>
    <w:rsid w:val="008C4DAA"/>
    <w:rsid w:val="008D006E"/>
    <w:rsid w:val="008D5759"/>
    <w:rsid w:val="008E3BCB"/>
    <w:rsid w:val="008E552F"/>
    <w:rsid w:val="008F16AB"/>
    <w:rsid w:val="008F48FD"/>
    <w:rsid w:val="008F50E0"/>
    <w:rsid w:val="00904752"/>
    <w:rsid w:val="00915E4D"/>
    <w:rsid w:val="009217A5"/>
    <w:rsid w:val="00932C38"/>
    <w:rsid w:val="00945C0E"/>
    <w:rsid w:val="00953C6F"/>
    <w:rsid w:val="00965740"/>
    <w:rsid w:val="00986C4B"/>
    <w:rsid w:val="009906DA"/>
    <w:rsid w:val="00992577"/>
    <w:rsid w:val="009A5E29"/>
    <w:rsid w:val="009D254C"/>
    <w:rsid w:val="009E4354"/>
    <w:rsid w:val="009E45DE"/>
    <w:rsid w:val="009E5982"/>
    <w:rsid w:val="009E5BC8"/>
    <w:rsid w:val="009E7F49"/>
    <w:rsid w:val="00A0219C"/>
    <w:rsid w:val="00A21802"/>
    <w:rsid w:val="00A416CA"/>
    <w:rsid w:val="00A5248B"/>
    <w:rsid w:val="00A57502"/>
    <w:rsid w:val="00A62EE2"/>
    <w:rsid w:val="00A73E3E"/>
    <w:rsid w:val="00A74A49"/>
    <w:rsid w:val="00A75667"/>
    <w:rsid w:val="00A82E75"/>
    <w:rsid w:val="00A85101"/>
    <w:rsid w:val="00A92AB9"/>
    <w:rsid w:val="00AA3563"/>
    <w:rsid w:val="00AA5110"/>
    <w:rsid w:val="00AB0D62"/>
    <w:rsid w:val="00AB2043"/>
    <w:rsid w:val="00AC057A"/>
    <w:rsid w:val="00AE236F"/>
    <w:rsid w:val="00AF3120"/>
    <w:rsid w:val="00B073CE"/>
    <w:rsid w:val="00B138D7"/>
    <w:rsid w:val="00B1731D"/>
    <w:rsid w:val="00B25397"/>
    <w:rsid w:val="00B40FDD"/>
    <w:rsid w:val="00B579F8"/>
    <w:rsid w:val="00B73E1D"/>
    <w:rsid w:val="00B76D92"/>
    <w:rsid w:val="00B77B3A"/>
    <w:rsid w:val="00BA12C4"/>
    <w:rsid w:val="00BB3DC4"/>
    <w:rsid w:val="00BE22EC"/>
    <w:rsid w:val="00C03A09"/>
    <w:rsid w:val="00C04CDF"/>
    <w:rsid w:val="00C25AE6"/>
    <w:rsid w:val="00C4718F"/>
    <w:rsid w:val="00C502E5"/>
    <w:rsid w:val="00C540F9"/>
    <w:rsid w:val="00C55BEF"/>
    <w:rsid w:val="00C65E66"/>
    <w:rsid w:val="00C66AE7"/>
    <w:rsid w:val="00C7578D"/>
    <w:rsid w:val="00C76FAA"/>
    <w:rsid w:val="00C93740"/>
    <w:rsid w:val="00C961E8"/>
    <w:rsid w:val="00C96EB0"/>
    <w:rsid w:val="00C97E35"/>
    <w:rsid w:val="00CA14B6"/>
    <w:rsid w:val="00CB4688"/>
    <w:rsid w:val="00CC5A02"/>
    <w:rsid w:val="00CC7F29"/>
    <w:rsid w:val="00CD092A"/>
    <w:rsid w:val="00CD3E1E"/>
    <w:rsid w:val="00CD5F49"/>
    <w:rsid w:val="00CF1CBB"/>
    <w:rsid w:val="00CF34BD"/>
    <w:rsid w:val="00D245DE"/>
    <w:rsid w:val="00D35AAC"/>
    <w:rsid w:val="00D361B5"/>
    <w:rsid w:val="00D52CBA"/>
    <w:rsid w:val="00D54790"/>
    <w:rsid w:val="00D63CEE"/>
    <w:rsid w:val="00D671B4"/>
    <w:rsid w:val="00D70AA0"/>
    <w:rsid w:val="00D80A4D"/>
    <w:rsid w:val="00D82FC4"/>
    <w:rsid w:val="00DA4348"/>
    <w:rsid w:val="00DA76A8"/>
    <w:rsid w:val="00DB04A9"/>
    <w:rsid w:val="00DB1692"/>
    <w:rsid w:val="00DC0230"/>
    <w:rsid w:val="00DC3075"/>
    <w:rsid w:val="00DE6A67"/>
    <w:rsid w:val="00E26361"/>
    <w:rsid w:val="00E26515"/>
    <w:rsid w:val="00E30494"/>
    <w:rsid w:val="00E41F22"/>
    <w:rsid w:val="00E55FA0"/>
    <w:rsid w:val="00E73AF4"/>
    <w:rsid w:val="00E757D0"/>
    <w:rsid w:val="00E9458C"/>
    <w:rsid w:val="00EA53D5"/>
    <w:rsid w:val="00EA561E"/>
    <w:rsid w:val="00EB01F8"/>
    <w:rsid w:val="00EE5BE4"/>
    <w:rsid w:val="00F033DA"/>
    <w:rsid w:val="00F062E7"/>
    <w:rsid w:val="00F07528"/>
    <w:rsid w:val="00F115AE"/>
    <w:rsid w:val="00F2372E"/>
    <w:rsid w:val="00F23C48"/>
    <w:rsid w:val="00F35C58"/>
    <w:rsid w:val="00F54A75"/>
    <w:rsid w:val="00F70861"/>
    <w:rsid w:val="00F73B56"/>
    <w:rsid w:val="00F9037C"/>
    <w:rsid w:val="00F93D7E"/>
    <w:rsid w:val="00FA3180"/>
    <w:rsid w:val="00FA34D1"/>
    <w:rsid w:val="00FA4E3E"/>
    <w:rsid w:val="00FB5677"/>
    <w:rsid w:val="00FC01C9"/>
    <w:rsid w:val="00FC23C4"/>
    <w:rsid w:val="00FC493D"/>
    <w:rsid w:val="00FE5194"/>
    <w:rsid w:val="00FE7675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65640"/>
  <w15:chartTrackingRefBased/>
  <w15:docId w15:val="{8599E4E4-76FA-4045-8C49-8C441A30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C8A"/>
    <w:pPr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E552F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8E552F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E552F"/>
    <w:rPr>
      <w:vertAlign w:val="superscript"/>
    </w:rPr>
  </w:style>
  <w:style w:type="character" w:styleId="a6">
    <w:name w:val="Hyperlink"/>
    <w:basedOn w:val="a0"/>
    <w:uiPriority w:val="99"/>
    <w:unhideWhenUsed/>
    <w:rsid w:val="008C4DA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C4DAA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234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m.coe.int/expert-analysis-burmych-exec-social-legislation-l-apostol-ukr-final/1680a0699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15A57-E043-4780-90BC-B7C3ABA9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3596</Words>
  <Characters>2050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Oleksandra Sandul</dc:creator>
  <cp:keywords/>
  <dc:description/>
  <cp:lastModifiedBy>Olga Poiedynok</cp:lastModifiedBy>
  <cp:revision>4</cp:revision>
  <dcterms:created xsi:type="dcterms:W3CDTF">2023-02-26T11:39:00Z</dcterms:created>
  <dcterms:modified xsi:type="dcterms:W3CDTF">2023-02-26T12:13:00Z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064379-0ecc-4782-bfd4-efa644d7df5e_Enabled">
    <vt:lpwstr>true</vt:lpwstr>
  </property>
  <property fmtid="{D5CDD505-2E9C-101B-9397-08002B2CF9AE}" pid="3" name="MSIP_Label_81064379-0ecc-4782-bfd4-efa644d7df5e_SetDate">
    <vt:lpwstr>2022-09-29T06:59:25Z</vt:lpwstr>
  </property>
  <property fmtid="{D5CDD505-2E9C-101B-9397-08002B2CF9AE}" pid="4" name="MSIP_Label_81064379-0ecc-4782-bfd4-efa644d7df5e_Method">
    <vt:lpwstr>Privileged</vt:lpwstr>
  </property>
  <property fmtid="{D5CDD505-2E9C-101B-9397-08002B2CF9AE}" pid="5" name="MSIP_Label_81064379-0ecc-4782-bfd4-efa644d7df5e_Name">
    <vt:lpwstr>Public</vt:lpwstr>
  </property>
  <property fmtid="{D5CDD505-2E9C-101B-9397-08002B2CF9AE}" pid="6" name="MSIP_Label_81064379-0ecc-4782-bfd4-efa644d7df5e_SiteId">
    <vt:lpwstr>f099d058-95d2-418d-9867-f269e19877bb</vt:lpwstr>
  </property>
  <property fmtid="{D5CDD505-2E9C-101B-9397-08002B2CF9AE}" pid="7" name="MSIP_Label_81064379-0ecc-4782-bfd4-efa644d7df5e_ActionId">
    <vt:lpwstr>a024855a-08b2-4ab0-902a-4b0082798bed</vt:lpwstr>
  </property>
  <property fmtid="{D5CDD505-2E9C-101B-9397-08002B2CF9AE}" pid="8" name="MSIP_Label_81064379-0ecc-4782-bfd4-efa644d7df5e_ContentBits">
    <vt:lpwstr>0</vt:lpwstr>
  </property>
  <property fmtid="{D5CDD505-2E9C-101B-9397-08002B2CF9AE}" pid="9" name="GrammarlyDocumentId">
    <vt:lpwstr>c7d5bfb8719464c962e3cf80904033fdd11f6edfdbfab0f9aefaf2e15bf58088</vt:lpwstr>
  </property>
</Properties>
</file>